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F8B13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3F746A5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05E13C3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429084A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52FE0A9" w14:textId="7A5EEF9F" w:rsidR="00ED7529" w:rsidRDefault="00A33FF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[word count: </w:t>
      </w:r>
      <w:r w:rsidR="005E1A1F">
        <w:rPr>
          <w:rFonts w:ascii="Times New Roman" w:hAnsi="Times New Roman"/>
          <w:sz w:val="24"/>
          <w:szCs w:val="24"/>
        </w:rPr>
        <w:t>991</w:t>
      </w:r>
      <w:r>
        <w:rPr>
          <w:rFonts w:ascii="Times New Roman" w:hAnsi="Times New Roman"/>
          <w:sz w:val="24"/>
          <w:szCs w:val="24"/>
        </w:rPr>
        <w:t>]</w:t>
      </w:r>
    </w:p>
    <w:p w14:paraId="48CAB52C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395238A" w14:textId="77777777" w:rsidR="00ED7529" w:rsidRDefault="00ED752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B8134B5" w14:textId="77777777" w:rsidR="006C08F3" w:rsidRDefault="006C08F3" w:rsidP="006A4FEC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 Is On Your Side: </w:t>
      </w:r>
    </w:p>
    <w:p w14:paraId="16CFD9D9" w14:textId="77777777" w:rsidR="00ED7529" w:rsidRDefault="006C08F3" w:rsidP="006A4FEC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Making the Most of the Delay in L</w:t>
      </w:r>
      <w:r w:rsidR="00A33FFE">
        <w:rPr>
          <w:rFonts w:ascii="Times New Roman" w:hAnsi="Times New Roman"/>
          <w:b/>
          <w:sz w:val="24"/>
          <w:szCs w:val="24"/>
        </w:rPr>
        <w:t>ease Accounting</w:t>
      </w:r>
      <w:r w:rsidR="006A4FEC">
        <w:rPr>
          <w:rFonts w:ascii="Times New Roman" w:hAnsi="Times New Roman"/>
          <w:b/>
          <w:sz w:val="24"/>
          <w:szCs w:val="24"/>
        </w:rPr>
        <w:t xml:space="preserve"> Changes  </w:t>
      </w:r>
    </w:p>
    <w:p w14:paraId="3EE5285B" w14:textId="77777777" w:rsidR="00ED7529" w:rsidRDefault="00A33FFE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By Ralph Petta</w:t>
      </w:r>
    </w:p>
    <w:p w14:paraId="784A12AE" w14:textId="77777777" w:rsidR="00ED7529" w:rsidRDefault="00A33FFE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 and CEO, Equipment Leasing and Finance Association</w:t>
      </w:r>
    </w:p>
    <w:p w14:paraId="4CBBA56E" w14:textId="77777777" w:rsidR="00ED7529" w:rsidRDefault="00ED752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C64F7E" w14:textId="2C34CAC7" w:rsidR="0055728D" w:rsidRDefault="00151764" w:rsidP="00C85D7D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6CF8">
        <w:rPr>
          <w:rFonts w:ascii="Times New Roman" w:hAnsi="Times New Roman"/>
          <w:sz w:val="24"/>
          <w:szCs w:val="24"/>
        </w:rPr>
        <w:t>Certain p</w:t>
      </w:r>
      <w:r>
        <w:rPr>
          <w:rFonts w:ascii="Times New Roman" w:hAnsi="Times New Roman"/>
          <w:sz w:val="24"/>
          <w:szCs w:val="24"/>
        </w:rPr>
        <w:t>rivate companies</w:t>
      </w:r>
      <w:r w:rsidR="00686CF8">
        <w:rPr>
          <w:rFonts w:ascii="Times New Roman" w:hAnsi="Times New Roman"/>
          <w:sz w:val="24"/>
          <w:szCs w:val="24"/>
        </w:rPr>
        <w:t xml:space="preserve">, </w:t>
      </w:r>
      <w:r w:rsidR="00C85D7D">
        <w:rPr>
          <w:rFonts w:ascii="Times New Roman" w:hAnsi="Times New Roman"/>
          <w:sz w:val="24"/>
          <w:szCs w:val="24"/>
        </w:rPr>
        <w:t>nonprofits</w:t>
      </w:r>
      <w:r>
        <w:rPr>
          <w:rFonts w:ascii="Times New Roman" w:hAnsi="Times New Roman"/>
          <w:sz w:val="24"/>
          <w:szCs w:val="24"/>
        </w:rPr>
        <w:t xml:space="preserve"> </w:t>
      </w:r>
      <w:r w:rsidR="001C1270" w:rsidRPr="00686CF8">
        <w:rPr>
          <w:rFonts w:ascii="Times New Roman" w:hAnsi="Times New Roman"/>
          <w:sz w:val="24"/>
          <w:szCs w:val="24"/>
        </w:rPr>
        <w:t>and tax-exempt</w:t>
      </w:r>
      <w:r w:rsidR="00106F47">
        <w:rPr>
          <w:rFonts w:ascii="Times New Roman" w:hAnsi="Times New Roman"/>
          <w:sz w:val="24"/>
          <w:szCs w:val="24"/>
        </w:rPr>
        <w:t xml:space="preserve"> organizations</w:t>
      </w:r>
      <w:r w:rsidR="001C1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lease equipment have been given an important </w:t>
      </w:r>
      <w:r w:rsidR="00AF152F">
        <w:rPr>
          <w:rFonts w:ascii="Times New Roman" w:hAnsi="Times New Roman"/>
          <w:sz w:val="24"/>
          <w:szCs w:val="24"/>
        </w:rPr>
        <w:t>advantage in</w:t>
      </w:r>
      <w:r>
        <w:rPr>
          <w:rFonts w:ascii="Times New Roman" w:hAnsi="Times New Roman"/>
          <w:sz w:val="24"/>
          <w:szCs w:val="24"/>
        </w:rPr>
        <w:t xml:space="preserve"> implementing new accounting </w:t>
      </w:r>
      <w:r w:rsidR="007050E4">
        <w:rPr>
          <w:rFonts w:ascii="Times New Roman" w:hAnsi="Times New Roman"/>
          <w:sz w:val="24"/>
          <w:szCs w:val="24"/>
        </w:rPr>
        <w:t xml:space="preserve">rules—more time. </w:t>
      </w:r>
      <w:r w:rsidR="006A4FEC">
        <w:rPr>
          <w:rFonts w:ascii="Times New Roman" w:hAnsi="Times New Roman"/>
          <w:sz w:val="24"/>
          <w:szCs w:val="24"/>
        </w:rPr>
        <w:t xml:space="preserve">The Financial Accounting Standards Board (FASB) announced that </w:t>
      </w:r>
      <w:r w:rsidR="002156B1">
        <w:rPr>
          <w:rFonts w:ascii="Times New Roman" w:hAnsi="Times New Roman"/>
          <w:sz w:val="24"/>
          <w:szCs w:val="24"/>
        </w:rPr>
        <w:t xml:space="preserve">the effective date of </w:t>
      </w:r>
      <w:r w:rsidR="000B1E0C">
        <w:rPr>
          <w:rFonts w:ascii="Times New Roman" w:hAnsi="Times New Roman"/>
          <w:sz w:val="24"/>
          <w:szCs w:val="24"/>
        </w:rPr>
        <w:t>the new lease accounting standard, Accounting Standards Codification Topic 842 (ASC 842)</w:t>
      </w:r>
      <w:r w:rsidR="0055728D">
        <w:rPr>
          <w:rFonts w:ascii="Times New Roman" w:hAnsi="Times New Roman"/>
          <w:sz w:val="24"/>
          <w:szCs w:val="24"/>
        </w:rPr>
        <w:t>,</w:t>
      </w:r>
      <w:r w:rsidR="006A4FEC">
        <w:rPr>
          <w:rFonts w:ascii="Times New Roman" w:hAnsi="Times New Roman"/>
          <w:sz w:val="24"/>
          <w:szCs w:val="24"/>
        </w:rPr>
        <w:t xml:space="preserve"> for </w:t>
      </w:r>
      <w:r w:rsidR="002156B1">
        <w:rPr>
          <w:rFonts w:ascii="Times New Roman" w:hAnsi="Times New Roman"/>
          <w:sz w:val="24"/>
          <w:szCs w:val="24"/>
        </w:rPr>
        <w:t xml:space="preserve">private companies </w:t>
      </w:r>
      <w:r w:rsidR="00C85D7D">
        <w:rPr>
          <w:rFonts w:ascii="Times New Roman" w:hAnsi="Times New Roman"/>
          <w:sz w:val="24"/>
          <w:szCs w:val="24"/>
        </w:rPr>
        <w:t xml:space="preserve">and nonprofits </w:t>
      </w:r>
      <w:r w:rsidR="002156B1">
        <w:rPr>
          <w:rFonts w:ascii="Times New Roman" w:hAnsi="Times New Roman"/>
          <w:sz w:val="24"/>
          <w:szCs w:val="24"/>
        </w:rPr>
        <w:t xml:space="preserve">has been </w:t>
      </w:r>
      <w:r w:rsidR="005E1A1F">
        <w:rPr>
          <w:rFonts w:ascii="Times New Roman" w:hAnsi="Times New Roman"/>
          <w:sz w:val="24"/>
          <w:szCs w:val="24"/>
        </w:rPr>
        <w:t>delayed</w:t>
      </w:r>
      <w:r w:rsidR="002156B1">
        <w:rPr>
          <w:rFonts w:ascii="Times New Roman" w:hAnsi="Times New Roman"/>
          <w:sz w:val="24"/>
          <w:szCs w:val="24"/>
        </w:rPr>
        <w:t xml:space="preserve"> with implementation beginning </w:t>
      </w:r>
      <w:r w:rsidR="005E1A1F">
        <w:rPr>
          <w:rFonts w:ascii="Times New Roman" w:hAnsi="Times New Roman"/>
          <w:sz w:val="24"/>
          <w:szCs w:val="24"/>
        </w:rPr>
        <w:t>in 2021</w:t>
      </w:r>
      <w:r w:rsidR="002156B1">
        <w:rPr>
          <w:rFonts w:ascii="Times New Roman" w:hAnsi="Times New Roman"/>
          <w:sz w:val="24"/>
          <w:szCs w:val="24"/>
        </w:rPr>
        <w:t xml:space="preserve">. </w:t>
      </w:r>
    </w:p>
    <w:p w14:paraId="33E46925" w14:textId="23703BDA" w:rsidR="006A4FEC" w:rsidRDefault="0055728D" w:rsidP="00AF66B3">
      <w:pPr>
        <w:pStyle w:val="ListParagraph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5D7D">
        <w:rPr>
          <w:rFonts w:ascii="Times New Roman" w:hAnsi="Times New Roman"/>
          <w:sz w:val="24"/>
          <w:szCs w:val="24"/>
        </w:rPr>
        <w:t xml:space="preserve">The </w:t>
      </w:r>
      <w:r w:rsidR="00EC0D9A">
        <w:rPr>
          <w:rFonts w:ascii="Times New Roman" w:hAnsi="Times New Roman"/>
          <w:sz w:val="24"/>
          <w:szCs w:val="24"/>
        </w:rPr>
        <w:t>delay</w:t>
      </w:r>
      <w:r w:rsidR="00C85D7D">
        <w:rPr>
          <w:rFonts w:ascii="Times New Roman" w:hAnsi="Times New Roman"/>
          <w:sz w:val="24"/>
          <w:szCs w:val="24"/>
        </w:rPr>
        <w:t xml:space="preserve"> </w:t>
      </w:r>
      <w:r w:rsidR="007F4E01">
        <w:rPr>
          <w:rFonts w:ascii="Times New Roman" w:hAnsi="Times New Roman"/>
          <w:sz w:val="24"/>
          <w:szCs w:val="24"/>
        </w:rPr>
        <w:t>will</w:t>
      </w:r>
      <w:r w:rsidR="00C85D7D">
        <w:rPr>
          <w:rFonts w:ascii="Times New Roman" w:hAnsi="Times New Roman"/>
          <w:sz w:val="24"/>
          <w:szCs w:val="24"/>
        </w:rPr>
        <w:t xml:space="preserve"> allow smaller organizations to get their accounting processes in place while they continue to enjoy the advantages of leasing equipment. </w:t>
      </w:r>
      <w:r>
        <w:rPr>
          <w:rFonts w:ascii="Times New Roman" w:hAnsi="Times New Roman"/>
          <w:sz w:val="24"/>
          <w:szCs w:val="24"/>
        </w:rPr>
        <w:t>S</w:t>
      </w:r>
      <w:r w:rsidR="000B1E0C">
        <w:rPr>
          <w:rFonts w:ascii="Times New Roman" w:hAnsi="Times New Roman"/>
          <w:sz w:val="24"/>
          <w:szCs w:val="24"/>
        </w:rPr>
        <w:t xml:space="preserve">ince </w:t>
      </w:r>
      <w:r w:rsidR="006A4FEC">
        <w:rPr>
          <w:rFonts w:ascii="Times New Roman" w:hAnsi="Times New Roman"/>
          <w:sz w:val="24"/>
          <w:szCs w:val="24"/>
        </w:rPr>
        <w:t xml:space="preserve">ASC 842 </w:t>
      </w:r>
      <w:r w:rsidR="002156B1">
        <w:rPr>
          <w:rFonts w:ascii="Times New Roman" w:hAnsi="Times New Roman"/>
          <w:sz w:val="24"/>
          <w:szCs w:val="24"/>
        </w:rPr>
        <w:t xml:space="preserve">went into effect in </w:t>
      </w:r>
      <w:r w:rsidR="002178BC">
        <w:rPr>
          <w:rFonts w:ascii="Times New Roman" w:hAnsi="Times New Roman"/>
          <w:sz w:val="24"/>
          <w:szCs w:val="24"/>
        </w:rPr>
        <w:t xml:space="preserve">2019 </w:t>
      </w:r>
      <w:r w:rsidR="00C85D7D">
        <w:rPr>
          <w:rFonts w:ascii="Times New Roman" w:hAnsi="Times New Roman"/>
          <w:sz w:val="24"/>
          <w:szCs w:val="24"/>
        </w:rPr>
        <w:t xml:space="preserve">for </w:t>
      </w:r>
      <w:r w:rsidR="00306DC5">
        <w:rPr>
          <w:rFonts w:ascii="Times New Roman" w:hAnsi="Times New Roman"/>
          <w:sz w:val="24"/>
          <w:szCs w:val="24"/>
        </w:rPr>
        <w:t xml:space="preserve">most </w:t>
      </w:r>
      <w:r w:rsidR="00C85D7D">
        <w:rPr>
          <w:rFonts w:ascii="Times New Roman" w:hAnsi="Times New Roman"/>
          <w:sz w:val="24"/>
          <w:szCs w:val="24"/>
        </w:rPr>
        <w:t>public companies</w:t>
      </w:r>
      <w:r w:rsidR="000B1E0C">
        <w:rPr>
          <w:rFonts w:ascii="Times New Roman" w:hAnsi="Times New Roman"/>
          <w:sz w:val="24"/>
          <w:szCs w:val="24"/>
        </w:rPr>
        <w:t xml:space="preserve">, </w:t>
      </w:r>
      <w:r w:rsidR="00C85D7D">
        <w:rPr>
          <w:rFonts w:ascii="Times New Roman" w:hAnsi="Times New Roman"/>
          <w:sz w:val="24"/>
          <w:szCs w:val="24"/>
        </w:rPr>
        <w:t>F</w:t>
      </w:r>
      <w:r w:rsidR="006A4FEC" w:rsidRPr="006A4FEC">
        <w:rPr>
          <w:rFonts w:ascii="Times New Roman" w:eastAsia="Times New Roman" w:hAnsi="Times New Roman"/>
          <w:sz w:val="24"/>
          <w:szCs w:val="24"/>
        </w:rPr>
        <w:t xml:space="preserve">ASB members </w:t>
      </w:r>
      <w:r w:rsidR="00C85D7D">
        <w:rPr>
          <w:rFonts w:ascii="Times New Roman" w:eastAsia="Times New Roman" w:hAnsi="Times New Roman"/>
          <w:sz w:val="24"/>
          <w:szCs w:val="24"/>
        </w:rPr>
        <w:t xml:space="preserve">have </w:t>
      </w:r>
      <w:r w:rsidR="00AF66B3">
        <w:rPr>
          <w:rFonts w:ascii="Times New Roman" w:eastAsia="Times New Roman" w:hAnsi="Times New Roman"/>
          <w:sz w:val="24"/>
          <w:szCs w:val="24"/>
        </w:rPr>
        <w:t>expressed that</w:t>
      </w:r>
      <w:r w:rsidR="00C85D7D">
        <w:rPr>
          <w:rFonts w:ascii="Times New Roman" w:eastAsia="Times New Roman" w:hAnsi="Times New Roman"/>
          <w:sz w:val="24"/>
          <w:szCs w:val="24"/>
        </w:rPr>
        <w:t xml:space="preserve"> </w:t>
      </w:r>
      <w:r w:rsidR="000B1E0C">
        <w:rPr>
          <w:rFonts w:ascii="Times New Roman" w:eastAsia="Times New Roman" w:hAnsi="Times New Roman"/>
          <w:sz w:val="24"/>
          <w:szCs w:val="24"/>
        </w:rPr>
        <w:t>companies</w:t>
      </w:r>
      <w:r w:rsidR="006A4FEC" w:rsidRPr="006A4FEC">
        <w:rPr>
          <w:rFonts w:ascii="Times New Roman" w:eastAsia="Times New Roman" w:hAnsi="Times New Roman"/>
          <w:sz w:val="24"/>
          <w:szCs w:val="24"/>
        </w:rPr>
        <w:t xml:space="preserve"> with limited resources </w:t>
      </w:r>
      <w:r w:rsidR="00D00857">
        <w:rPr>
          <w:rFonts w:ascii="Times New Roman" w:eastAsia="Times New Roman" w:hAnsi="Times New Roman"/>
          <w:sz w:val="24"/>
          <w:szCs w:val="24"/>
        </w:rPr>
        <w:t xml:space="preserve">can </w:t>
      </w:r>
      <w:r w:rsidR="006A4FEC" w:rsidRPr="006A4FEC">
        <w:rPr>
          <w:rFonts w:ascii="Times New Roman" w:eastAsia="Times New Roman" w:hAnsi="Times New Roman"/>
          <w:sz w:val="24"/>
          <w:szCs w:val="24"/>
        </w:rPr>
        <w:t>learn from the implementation performed by large public companies that possess more staffing and resources.</w:t>
      </w:r>
      <w:r w:rsidR="00D00857">
        <w:rPr>
          <w:rFonts w:ascii="Times New Roman" w:eastAsia="Times New Roman" w:hAnsi="Times New Roman"/>
          <w:sz w:val="24"/>
          <w:szCs w:val="24"/>
        </w:rPr>
        <w:t xml:space="preserve"> H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 xml:space="preserve">aving additional time to get through at least one annual audit cycle and regulatory cycle </w:t>
      </w:r>
      <w:r w:rsidR="00256186">
        <w:rPr>
          <w:rFonts w:ascii="Times New Roman" w:eastAsia="Times New Roman" w:hAnsi="Times New Roman"/>
          <w:sz w:val="24"/>
          <w:szCs w:val="24"/>
        </w:rPr>
        <w:t>should</w:t>
      </w:r>
      <w:r w:rsidR="000B1E0C">
        <w:rPr>
          <w:rFonts w:ascii="Times New Roman" w:eastAsia="Times New Roman" w:hAnsi="Times New Roman"/>
          <w:sz w:val="24"/>
          <w:szCs w:val="24"/>
        </w:rPr>
        <w:t xml:space="preserve"> 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 xml:space="preserve">help </w:t>
      </w:r>
      <w:r w:rsidR="00256186" w:rsidRPr="006A4FEC">
        <w:rPr>
          <w:rFonts w:ascii="Times New Roman" w:eastAsia="Times New Roman" w:hAnsi="Times New Roman"/>
          <w:sz w:val="24"/>
          <w:szCs w:val="24"/>
        </w:rPr>
        <w:t>smaller reporting c</w:t>
      </w:r>
      <w:r w:rsidR="00256186">
        <w:rPr>
          <w:rFonts w:ascii="Times New Roman" w:eastAsia="Times New Roman" w:hAnsi="Times New Roman"/>
          <w:sz w:val="24"/>
          <w:szCs w:val="24"/>
        </w:rPr>
        <w:t xml:space="preserve">ompanies and private companies 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>increase</w:t>
      </w:r>
      <w:r w:rsidR="00256186">
        <w:rPr>
          <w:rFonts w:ascii="Times New Roman" w:eastAsia="Times New Roman" w:hAnsi="Times New Roman"/>
          <w:sz w:val="24"/>
          <w:szCs w:val="24"/>
        </w:rPr>
        <w:t xml:space="preserve"> the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 xml:space="preserve"> quality</w:t>
      </w:r>
      <w:r w:rsidR="00256186">
        <w:rPr>
          <w:rFonts w:ascii="Times New Roman" w:eastAsia="Times New Roman" w:hAnsi="Times New Roman"/>
          <w:sz w:val="24"/>
          <w:szCs w:val="24"/>
        </w:rPr>
        <w:t xml:space="preserve"> of their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 xml:space="preserve"> implementation</w:t>
      </w:r>
      <w:r w:rsidR="00D00857">
        <w:rPr>
          <w:rFonts w:ascii="Times New Roman" w:eastAsia="Times New Roman" w:hAnsi="Times New Roman"/>
          <w:sz w:val="24"/>
          <w:szCs w:val="24"/>
        </w:rPr>
        <w:t>.</w:t>
      </w:r>
    </w:p>
    <w:p w14:paraId="5CA27825" w14:textId="77777777" w:rsidR="00AF66B3" w:rsidRPr="00B06457" w:rsidRDefault="00D36741" w:rsidP="005A0166">
      <w:pPr>
        <w:pStyle w:val="ListParagraph"/>
        <w:spacing w:line="36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Challenges to</w:t>
      </w:r>
      <w:r w:rsidR="005A0166" w:rsidRPr="00B06457">
        <w:rPr>
          <w:rFonts w:ascii="Times New Roman" w:eastAsia="Times New Roman" w:hAnsi="Times New Roman"/>
          <w:b/>
          <w:sz w:val="24"/>
          <w:szCs w:val="24"/>
        </w:rPr>
        <w:t xml:space="preserve"> Implementation</w:t>
      </w:r>
    </w:p>
    <w:p w14:paraId="5FE81D20" w14:textId="77777777" w:rsidR="00EC0D9A" w:rsidRDefault="005A0166" w:rsidP="005A016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11DF5">
        <w:rPr>
          <w:rFonts w:ascii="Times New Roman" w:eastAsia="Times New Roman" w:hAnsi="Times New Roman"/>
          <w:sz w:val="24"/>
          <w:szCs w:val="24"/>
        </w:rPr>
        <w:t>For c</w:t>
      </w:r>
      <w:r w:rsidR="000B1E0C">
        <w:rPr>
          <w:rFonts w:ascii="Times New Roman" w:eastAsia="Times New Roman" w:hAnsi="Times New Roman"/>
          <w:sz w:val="24"/>
          <w:szCs w:val="24"/>
        </w:rPr>
        <w:t xml:space="preserve">ompanies that are still </w:t>
      </w:r>
      <w:r w:rsidR="00D11DF5">
        <w:rPr>
          <w:rFonts w:ascii="Times New Roman" w:eastAsia="Times New Roman" w:hAnsi="Times New Roman"/>
          <w:sz w:val="24"/>
          <w:szCs w:val="24"/>
        </w:rPr>
        <w:t>working</w:t>
      </w:r>
      <w:r w:rsidR="000B1E0C">
        <w:rPr>
          <w:rFonts w:ascii="Times New Roman" w:eastAsia="Times New Roman" w:hAnsi="Times New Roman"/>
          <w:sz w:val="24"/>
          <w:szCs w:val="24"/>
        </w:rPr>
        <w:t xml:space="preserve"> to implement </w:t>
      </w:r>
      <w:r w:rsidR="000B1E0C">
        <w:rPr>
          <w:rFonts w:ascii="Times New Roman" w:hAnsi="Times New Roman"/>
          <w:sz w:val="24"/>
          <w:szCs w:val="24"/>
        </w:rPr>
        <w:t>ASC 842</w:t>
      </w:r>
      <w:r w:rsidR="00D11DF5">
        <w:rPr>
          <w:rFonts w:ascii="Times New Roman" w:hAnsi="Times New Roman"/>
          <w:sz w:val="24"/>
          <w:szCs w:val="24"/>
        </w:rPr>
        <w:t>,</w:t>
      </w:r>
      <w:r w:rsidR="00EC0D9A">
        <w:rPr>
          <w:rFonts w:ascii="Times New Roman" w:hAnsi="Times New Roman"/>
          <w:sz w:val="24"/>
          <w:szCs w:val="24"/>
        </w:rPr>
        <w:t xml:space="preserve"> the year extension is particularly welcome to address the following</w:t>
      </w:r>
      <w:r w:rsidR="00AF152F">
        <w:rPr>
          <w:rFonts w:ascii="Times New Roman" w:hAnsi="Times New Roman"/>
          <w:sz w:val="24"/>
          <w:szCs w:val="24"/>
        </w:rPr>
        <w:t xml:space="preserve"> areas that have posed challenges</w:t>
      </w:r>
      <w:r w:rsidR="00EC0D9A">
        <w:rPr>
          <w:rFonts w:ascii="Times New Roman" w:hAnsi="Times New Roman"/>
          <w:sz w:val="24"/>
          <w:szCs w:val="24"/>
        </w:rPr>
        <w:t>:</w:t>
      </w:r>
    </w:p>
    <w:p w14:paraId="66B22DDD" w14:textId="77777777" w:rsidR="00D77AB9" w:rsidRDefault="00EC0D9A" w:rsidP="00EC0D9A">
      <w:pPr>
        <w:numPr>
          <w:ilvl w:val="1"/>
          <w:numId w:val="1"/>
        </w:numPr>
        <w:ind w:left="720"/>
        <w:rPr>
          <w:rFonts w:ascii="Times New Roman" w:eastAsia="Times New Roman" w:hAnsi="Times New Roman"/>
          <w:sz w:val="24"/>
          <w:szCs w:val="24"/>
        </w:rPr>
      </w:pPr>
      <w:r w:rsidRPr="00EC0D9A">
        <w:rPr>
          <w:rFonts w:ascii="Times New Roman" w:eastAsia="Times New Roman" w:hAnsi="Times New Roman"/>
          <w:b/>
          <w:sz w:val="24"/>
          <w:szCs w:val="24"/>
        </w:rPr>
        <w:t>Review</w:t>
      </w:r>
      <w:r w:rsidR="00BF4F23">
        <w:rPr>
          <w:rFonts w:ascii="Times New Roman" w:eastAsia="Times New Roman" w:hAnsi="Times New Roman"/>
          <w:b/>
          <w:sz w:val="24"/>
          <w:szCs w:val="24"/>
        </w:rPr>
        <w:t xml:space="preserve"> of</w:t>
      </w:r>
      <w:r w:rsidRPr="00EC0D9A">
        <w:rPr>
          <w:rFonts w:ascii="Times New Roman" w:eastAsia="Times New Roman" w:hAnsi="Times New Roman"/>
          <w:b/>
          <w:sz w:val="24"/>
          <w:szCs w:val="24"/>
        </w:rPr>
        <w:t xml:space="preserve"> lease contracts and what </w:t>
      </w:r>
      <w:r w:rsidR="00B521DF" w:rsidRPr="008B33AE">
        <w:rPr>
          <w:rFonts w:ascii="Times New Roman" w:eastAsia="Times New Roman" w:hAnsi="Times New Roman"/>
          <w:b/>
          <w:sz w:val="24"/>
          <w:szCs w:val="24"/>
        </w:rPr>
        <w:t>constitutes</w:t>
      </w:r>
      <w:r w:rsidR="00B521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b/>
          <w:sz w:val="24"/>
          <w:szCs w:val="24"/>
        </w:rPr>
        <w:t>a lease.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sz w:val="24"/>
          <w:szCs w:val="24"/>
        </w:rPr>
        <w:t xml:space="preserve"> These can include multiple-element arrangement</w:t>
      </w:r>
      <w:r>
        <w:rPr>
          <w:rFonts w:ascii="Times New Roman" w:eastAsia="Times New Roman" w:hAnsi="Times New Roman"/>
          <w:sz w:val="24"/>
          <w:szCs w:val="24"/>
        </w:rPr>
        <w:t xml:space="preserve"> contracts</w:t>
      </w:r>
      <w:r w:rsidRPr="00EC0D9A">
        <w:rPr>
          <w:rFonts w:ascii="Times New Roman" w:eastAsia="Times New Roman" w:hAnsi="Times New Roman"/>
          <w:sz w:val="24"/>
          <w:szCs w:val="24"/>
        </w:rPr>
        <w:t xml:space="preserve"> that combine services, software, hardware</w:t>
      </w:r>
      <w:r w:rsidR="00F948A9">
        <w:rPr>
          <w:rFonts w:ascii="Times New Roman" w:eastAsia="Times New Roman" w:hAnsi="Times New Roman"/>
          <w:sz w:val="24"/>
          <w:szCs w:val="24"/>
        </w:rPr>
        <w:t xml:space="preserve">, </w:t>
      </w:r>
      <w:r w:rsidR="00F948A9" w:rsidRPr="00686CF8">
        <w:rPr>
          <w:rFonts w:ascii="Times New Roman" w:eastAsia="Times New Roman" w:hAnsi="Times New Roman"/>
          <w:sz w:val="24"/>
          <w:szCs w:val="24"/>
        </w:rPr>
        <w:t>consumables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and/or financing</w:t>
      </w:r>
      <w:r w:rsidR="00F948A9" w:rsidRPr="00686CF8">
        <w:rPr>
          <w:rFonts w:ascii="Times New Roman" w:eastAsia="Times New Roman" w:hAnsi="Times New Roman"/>
          <w:sz w:val="24"/>
          <w:szCs w:val="24"/>
        </w:rPr>
        <w:t xml:space="preserve"> such as is often found with 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 xml:space="preserve">air-separation units or blood diagnostic analyzers, as well as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contracts 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>for energy</w:t>
      </w:r>
      <w:r w:rsidR="00C965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sz w:val="24"/>
          <w:szCs w:val="24"/>
        </w:rPr>
        <w:t>such as power purchase agreements</w:t>
      </w:r>
      <w:r w:rsid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sz w:val="24"/>
          <w:szCs w:val="24"/>
        </w:rPr>
        <w:t>and supply contracts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106F47">
        <w:rPr>
          <w:rFonts w:ascii="Times New Roman" w:eastAsia="Times New Roman" w:hAnsi="Times New Roman"/>
          <w:sz w:val="24"/>
          <w:szCs w:val="24"/>
        </w:rPr>
        <w:t>Some l</w:t>
      </w:r>
      <w:r>
        <w:rPr>
          <w:rFonts w:ascii="Times New Roman" w:eastAsia="Times New Roman" w:hAnsi="Times New Roman"/>
          <w:sz w:val="24"/>
          <w:szCs w:val="24"/>
        </w:rPr>
        <w:t xml:space="preserve">essees </w:t>
      </w:r>
      <w:r w:rsidRPr="00EC0D9A">
        <w:rPr>
          <w:rFonts w:ascii="Times New Roman" w:eastAsia="Times New Roman" w:hAnsi="Times New Roman"/>
          <w:sz w:val="24"/>
          <w:szCs w:val="24"/>
        </w:rPr>
        <w:t xml:space="preserve">are having difficulty bifurcating the cost of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>various elements such as</w:t>
      </w:r>
      <w:r w:rsidR="001C12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sz w:val="24"/>
          <w:szCs w:val="24"/>
        </w:rPr>
        <w:t xml:space="preserve">consumables from the embedded lease of the asset. </w:t>
      </w:r>
    </w:p>
    <w:p w14:paraId="5C965DEF" w14:textId="77777777" w:rsidR="00D77AB9" w:rsidRPr="00686CF8" w:rsidRDefault="00D77AB9" w:rsidP="00D77AB9">
      <w:pPr>
        <w:numPr>
          <w:ilvl w:val="1"/>
          <w:numId w:val="1"/>
        </w:numPr>
        <w:ind w:left="720"/>
        <w:rPr>
          <w:rFonts w:ascii="Times New Roman" w:eastAsia="Times New Roman" w:hAnsi="Times New Roman"/>
          <w:sz w:val="24"/>
          <w:szCs w:val="24"/>
        </w:rPr>
      </w:pPr>
      <w:r w:rsidRPr="00D77AB9">
        <w:rPr>
          <w:rFonts w:ascii="Times New Roman" w:eastAsia="Times New Roman" w:hAnsi="Times New Roman"/>
          <w:b/>
          <w:sz w:val="24"/>
          <w:szCs w:val="24"/>
        </w:rPr>
        <w:t>Software implementation.</w:t>
      </w:r>
      <w:r w:rsidRPr="00D77AB9">
        <w:rPr>
          <w:rFonts w:ascii="Times New Roman" w:eastAsia="Times New Roman" w:hAnsi="Times New Roman"/>
          <w:sz w:val="24"/>
          <w:szCs w:val="24"/>
        </w:rPr>
        <w:t xml:space="preserve"> Currently most 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>lessee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>-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 xml:space="preserve">oriented </w:t>
      </w:r>
      <w:r w:rsidRPr="00686CF8">
        <w:rPr>
          <w:rFonts w:ascii="Times New Roman" w:eastAsia="Times New Roman" w:hAnsi="Times New Roman"/>
          <w:sz w:val="24"/>
          <w:szCs w:val="24"/>
        </w:rPr>
        <w:t>software products are largely real estate focused and enterprise sized. Leas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>e accounting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software for smaller and mid-sized companies </w:t>
      </w:r>
      <w:r w:rsidR="00AF152F" w:rsidRPr="00686CF8">
        <w:rPr>
          <w:rFonts w:ascii="Times New Roman" w:eastAsia="Times New Roman" w:hAnsi="Times New Roman"/>
          <w:sz w:val="24"/>
          <w:szCs w:val="24"/>
        </w:rPr>
        <w:t>is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not 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 xml:space="preserve">as </w:t>
      </w:r>
      <w:r w:rsidRPr="00686CF8">
        <w:rPr>
          <w:rFonts w:ascii="Times New Roman" w:eastAsia="Times New Roman" w:hAnsi="Times New Roman"/>
          <w:sz w:val="24"/>
          <w:szCs w:val="24"/>
        </w:rPr>
        <w:t>fully developed</w:t>
      </w:r>
      <w:r w:rsidR="00686CF8">
        <w:rPr>
          <w:rFonts w:ascii="Times New Roman" w:eastAsia="Times New Roman" w:hAnsi="Times New Roman"/>
          <w:sz w:val="24"/>
          <w:szCs w:val="24"/>
        </w:rPr>
        <w:t>. The</w:t>
      </w:r>
      <w:r w:rsidRPr="00D77AB9">
        <w:rPr>
          <w:rFonts w:ascii="Times New Roman" w:eastAsia="Times New Roman" w:hAnsi="Times New Roman"/>
          <w:sz w:val="24"/>
          <w:szCs w:val="24"/>
        </w:rPr>
        <w:t xml:space="preserve"> software for larger installations </w:t>
      </w:r>
      <w:r w:rsidR="00AF152F">
        <w:rPr>
          <w:rFonts w:ascii="Times New Roman" w:eastAsia="Times New Roman" w:hAnsi="Times New Roman"/>
          <w:sz w:val="24"/>
          <w:szCs w:val="24"/>
        </w:rPr>
        <w:t>is</w:t>
      </w:r>
      <w:r w:rsidRPr="00D77AB9">
        <w:rPr>
          <w:rFonts w:ascii="Times New Roman" w:eastAsia="Times New Roman" w:hAnsi="Times New Roman"/>
          <w:sz w:val="24"/>
          <w:szCs w:val="24"/>
        </w:rPr>
        <w:t xml:space="preserve"> </w:t>
      </w:r>
      <w:r w:rsidR="00256186">
        <w:rPr>
          <w:rFonts w:ascii="Times New Roman" w:eastAsia="Times New Roman" w:hAnsi="Times New Roman"/>
          <w:sz w:val="24"/>
          <w:szCs w:val="24"/>
        </w:rPr>
        <w:t>can be cost prohibitive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 xml:space="preserve">and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the vendors </w:t>
      </w:r>
      <w:r w:rsidR="00256186">
        <w:rPr>
          <w:rFonts w:ascii="Times New Roman" w:eastAsia="Times New Roman" w:hAnsi="Times New Roman"/>
          <w:sz w:val="24"/>
          <w:szCs w:val="24"/>
        </w:rPr>
        <w:t>may be</w:t>
      </w:r>
      <w:r w:rsidR="00256186"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CF8">
        <w:rPr>
          <w:rFonts w:ascii="Times New Roman" w:eastAsia="Times New Roman" w:hAnsi="Times New Roman"/>
          <w:sz w:val="24"/>
          <w:szCs w:val="24"/>
        </w:rPr>
        <w:t>overbooked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 xml:space="preserve"> with ongoing installation projects</w:t>
      </w:r>
      <w:r w:rsidRPr="00686CF8">
        <w:rPr>
          <w:rFonts w:ascii="Times New Roman" w:eastAsia="Times New Roman" w:hAnsi="Times New Roman"/>
          <w:sz w:val="24"/>
          <w:szCs w:val="24"/>
        </w:rPr>
        <w:t>. The delay gives software solutions vendors time to review and improve their customer solutions.   </w:t>
      </w:r>
    </w:p>
    <w:p w14:paraId="0F9E942F" w14:textId="77777777" w:rsidR="00025BA2" w:rsidRPr="00686CF8" w:rsidRDefault="00BF4F23" w:rsidP="003F4046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686CF8">
        <w:rPr>
          <w:rFonts w:ascii="Times New Roman" w:eastAsia="Times New Roman" w:hAnsi="Times New Roman"/>
          <w:b/>
          <w:sz w:val="24"/>
          <w:szCs w:val="24"/>
        </w:rPr>
        <w:lastRenderedPageBreak/>
        <w:t>C</w:t>
      </w:r>
      <w:r w:rsidR="00025BA2" w:rsidRPr="00686CF8">
        <w:rPr>
          <w:rFonts w:ascii="Times New Roman" w:eastAsia="Times New Roman" w:hAnsi="Times New Roman"/>
          <w:b/>
          <w:sz w:val="24"/>
          <w:szCs w:val="24"/>
        </w:rPr>
        <w:t>onsult</w:t>
      </w:r>
      <w:r w:rsidRPr="00686CF8">
        <w:rPr>
          <w:rFonts w:ascii="Times New Roman" w:eastAsia="Times New Roman" w:hAnsi="Times New Roman"/>
          <w:b/>
          <w:sz w:val="24"/>
          <w:szCs w:val="24"/>
        </w:rPr>
        <w:t>ing</w:t>
      </w:r>
      <w:r w:rsidR="00025BA2" w:rsidRPr="00686CF8">
        <w:rPr>
          <w:rFonts w:ascii="Times New Roman" w:eastAsia="Times New Roman" w:hAnsi="Times New Roman"/>
          <w:b/>
          <w:sz w:val="24"/>
          <w:szCs w:val="24"/>
        </w:rPr>
        <w:t xml:space="preserve"> with auditors on more complex </w:t>
      </w:r>
      <w:r w:rsidR="00C965F0" w:rsidRPr="00686CF8">
        <w:rPr>
          <w:rFonts w:ascii="Times New Roman" w:eastAsia="Times New Roman" w:hAnsi="Times New Roman"/>
          <w:b/>
          <w:sz w:val="24"/>
          <w:szCs w:val="24"/>
        </w:rPr>
        <w:t xml:space="preserve">technical </w:t>
      </w:r>
      <w:r w:rsidR="00025BA2" w:rsidRPr="00686CF8">
        <w:rPr>
          <w:rFonts w:ascii="Times New Roman" w:eastAsia="Times New Roman" w:hAnsi="Times New Roman"/>
          <w:b/>
          <w:sz w:val="24"/>
          <w:szCs w:val="24"/>
        </w:rPr>
        <w:t>issues</w:t>
      </w:r>
      <w:r w:rsidR="003F4046" w:rsidRPr="00686CF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C965F0" w:rsidRPr="000A67AA">
        <w:rPr>
          <w:rFonts w:ascii="Times New Roman" w:eastAsia="Times New Roman" w:hAnsi="Times New Roman"/>
          <w:sz w:val="24"/>
          <w:szCs w:val="24"/>
        </w:rPr>
        <w:t xml:space="preserve">such as interpreting the  </w:t>
      </w:r>
      <w:r w:rsidR="003F4046" w:rsidRPr="000A67AA">
        <w:rPr>
          <w:rFonts w:ascii="Times New Roman" w:eastAsia="Times New Roman" w:hAnsi="Times New Roman"/>
          <w:sz w:val="24"/>
          <w:szCs w:val="24"/>
        </w:rPr>
        <w:t xml:space="preserve"> sale leaseback</w:t>
      </w:r>
      <w:r w:rsidR="00C965F0" w:rsidRPr="000A67AA">
        <w:rPr>
          <w:rFonts w:ascii="Times New Roman" w:eastAsia="Times New Roman" w:hAnsi="Times New Roman"/>
          <w:sz w:val="24"/>
          <w:szCs w:val="24"/>
        </w:rPr>
        <w:t xml:space="preserve"> accounting rules or selecting appropriate incremental borrowing rates</w:t>
      </w:r>
      <w:r w:rsidR="003F4046" w:rsidRPr="000A67AA">
        <w:rPr>
          <w:rFonts w:ascii="Times New Roman" w:eastAsia="Times New Roman" w:hAnsi="Times New Roman"/>
          <w:sz w:val="24"/>
          <w:szCs w:val="24"/>
        </w:rPr>
        <w:t>.</w:t>
      </w:r>
      <w:r w:rsidR="003F4046" w:rsidRPr="00686CF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17BB" w:rsidRPr="00686CF8">
        <w:rPr>
          <w:rFonts w:ascii="Times New Roman" w:eastAsia="Times New Roman" w:hAnsi="Times New Roman"/>
          <w:bCs/>
          <w:sz w:val="24"/>
          <w:szCs w:val="24"/>
        </w:rPr>
        <w:t>Limitations surrounding s</w:t>
      </w:r>
      <w:r w:rsidR="00C965F0" w:rsidRPr="00686CF8">
        <w:rPr>
          <w:rFonts w:ascii="Times New Roman" w:eastAsia="Times New Roman" w:hAnsi="Times New Roman"/>
          <w:bCs/>
          <w:sz w:val="24"/>
          <w:szCs w:val="24"/>
        </w:rPr>
        <w:t>ale leasebacks are a little more complicated under the new standard and users who accumulate assets over a time period to aggregate into one sale</w:t>
      </w:r>
      <w:r w:rsidR="00DA17BB" w:rsidRPr="00686CF8">
        <w:rPr>
          <w:rFonts w:ascii="Times New Roman" w:eastAsia="Times New Roman" w:hAnsi="Times New Roman"/>
          <w:bCs/>
          <w:sz w:val="24"/>
          <w:szCs w:val="24"/>
        </w:rPr>
        <w:t>-</w:t>
      </w:r>
      <w:r w:rsidR="00C965F0" w:rsidRPr="00686CF8">
        <w:rPr>
          <w:rFonts w:ascii="Times New Roman" w:eastAsia="Times New Roman" w:hAnsi="Times New Roman"/>
          <w:bCs/>
          <w:sz w:val="24"/>
          <w:szCs w:val="24"/>
        </w:rPr>
        <w:t xml:space="preserve">leaseback transaction </w:t>
      </w:r>
      <w:r w:rsidR="00DA17BB" w:rsidRPr="00686CF8">
        <w:rPr>
          <w:rFonts w:ascii="Times New Roman" w:eastAsia="Times New Roman" w:hAnsi="Times New Roman"/>
          <w:bCs/>
          <w:sz w:val="24"/>
          <w:szCs w:val="24"/>
        </w:rPr>
        <w:t xml:space="preserve">for expediency purposes </w:t>
      </w:r>
      <w:r w:rsidR="00C965F0" w:rsidRPr="00686CF8">
        <w:rPr>
          <w:rFonts w:ascii="Times New Roman" w:eastAsia="Times New Roman" w:hAnsi="Times New Roman"/>
          <w:bCs/>
          <w:sz w:val="24"/>
          <w:szCs w:val="24"/>
        </w:rPr>
        <w:t xml:space="preserve">may want to discuss the new rules with their auditors. </w:t>
      </w:r>
      <w:r w:rsidR="003F4046" w:rsidRPr="00686CF8">
        <w:rPr>
          <w:rFonts w:ascii="Times New Roman" w:eastAsia="Times New Roman" w:hAnsi="Times New Roman"/>
          <w:sz w:val="24"/>
          <w:szCs w:val="24"/>
        </w:rPr>
        <w:t>S</w:t>
      </w:r>
      <w:r w:rsidR="00E821C7" w:rsidRPr="00686CF8">
        <w:rPr>
          <w:rFonts w:ascii="Times New Roman" w:eastAsia="Times New Roman" w:hAnsi="Times New Roman"/>
          <w:sz w:val="24"/>
          <w:szCs w:val="24"/>
        </w:rPr>
        <w:t xml:space="preserve">electing an appropriate incremental borrowing rate (IBR) </w:t>
      </w:r>
      <w:r w:rsidR="00256186" w:rsidRPr="00686CF8">
        <w:rPr>
          <w:rFonts w:ascii="Times New Roman" w:eastAsia="Times New Roman" w:hAnsi="Times New Roman"/>
          <w:sz w:val="24"/>
          <w:szCs w:val="24"/>
        </w:rPr>
        <w:t xml:space="preserve">also 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>seems to be generating questions in implementation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>, especially since smaller lenders do not often have these rates handy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 xml:space="preserve">.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Other issues pertain to conforming and </w:t>
      </w:r>
      <w:r w:rsidR="00256186">
        <w:rPr>
          <w:rFonts w:ascii="Times New Roman" w:eastAsia="Times New Roman" w:hAnsi="Times New Roman"/>
          <w:sz w:val="24"/>
          <w:szCs w:val="24"/>
        </w:rPr>
        <w:t>converting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existing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financial reporting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>approaches to those found in a new system. For instance</w:t>
      </w:r>
      <w:r w:rsidR="00AF152F" w:rsidRPr="00686CF8">
        <w:rPr>
          <w:rFonts w:ascii="Times New Roman" w:eastAsia="Times New Roman" w:hAnsi="Times New Roman"/>
          <w:sz w:val="24"/>
          <w:szCs w:val="24"/>
        </w:rPr>
        <w:t>,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 xml:space="preserve">a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lessee may have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 xml:space="preserve">to convert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a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>“full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month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>”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>approach to recognizing rent ex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pense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in the first month of a lease </w:t>
      </w:r>
      <w:r w:rsidR="00DA17BB" w:rsidRPr="008B33AE">
        <w:rPr>
          <w:rFonts w:ascii="Times New Roman" w:eastAsia="Times New Roman" w:hAnsi="Times New Roman"/>
          <w:sz w:val="24"/>
          <w:szCs w:val="24"/>
        </w:rPr>
        <w:t>to a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n actual days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>expense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 xml:space="preserve"> approach with a new system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.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 xml:space="preserve">This will result in an adjusting entry and the </w:t>
      </w:r>
      <w:r w:rsidR="00686CF8" w:rsidRPr="00686CF8">
        <w:rPr>
          <w:rFonts w:ascii="Times New Roman" w:eastAsia="Times New Roman" w:hAnsi="Times New Roman"/>
          <w:sz w:val="24"/>
          <w:szCs w:val="24"/>
        </w:rPr>
        <w:t>c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>hange to a new approach</w:t>
      </w:r>
      <w:r w:rsidR="003F4046" w:rsidRPr="00686CF8">
        <w:rPr>
          <w:rFonts w:ascii="Times New Roman" w:eastAsia="Times New Roman" w:hAnsi="Times New Roman"/>
          <w:sz w:val="24"/>
          <w:szCs w:val="24"/>
        </w:rPr>
        <w:t xml:space="preserve"> may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require </w:t>
      </w:r>
      <w:r w:rsidR="003F4046" w:rsidRPr="00686CF8">
        <w:rPr>
          <w:rFonts w:ascii="Times New Roman" w:eastAsia="Times New Roman" w:hAnsi="Times New Roman"/>
          <w:sz w:val="24"/>
          <w:szCs w:val="24"/>
        </w:rPr>
        <w:t xml:space="preserve">filing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a Tax 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 xml:space="preserve">Accounting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>Method Change with the IRS</w:t>
      </w:r>
      <w:r w:rsidR="00AF152F" w:rsidRPr="00686CF8">
        <w:rPr>
          <w:rFonts w:ascii="Times New Roman" w:eastAsia="Times New Roman" w:hAnsi="Times New Roman"/>
          <w:sz w:val="24"/>
          <w:szCs w:val="24"/>
        </w:rPr>
        <w:t>.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25618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A79A4D" w14:textId="77777777" w:rsidR="00BF4F23" w:rsidRPr="00686CF8" w:rsidRDefault="00BF4F23" w:rsidP="00BF4F23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686CF8">
        <w:rPr>
          <w:rFonts w:ascii="Times New Roman" w:eastAsia="Times New Roman" w:hAnsi="Times New Roman"/>
          <w:b/>
          <w:sz w:val="24"/>
          <w:szCs w:val="24"/>
        </w:rPr>
        <w:t>Tax accounting</w:t>
      </w:r>
      <w:r w:rsidR="00AF152F" w:rsidRPr="00686CF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3F4046" w:rsidRPr="00686CF8">
        <w:rPr>
          <w:rFonts w:ascii="Times New Roman" w:eastAsia="Times New Roman" w:hAnsi="Times New Roman"/>
          <w:sz w:val="24"/>
          <w:szCs w:val="24"/>
        </w:rPr>
        <w:t>L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essees must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better 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understand which leases are true tax leases and which are loans for tax purposes.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Previously most operating leases were considered tax leases. Now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lessees 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must be sure to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B521DF" w:rsidRPr="008B33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) properly characterize the lease and (ii) </w:t>
      </w:r>
      <w:r w:rsidRPr="008B33AE">
        <w:rPr>
          <w:rFonts w:ascii="Times New Roman" w:eastAsia="Times New Roman" w:hAnsi="Times New Roman"/>
          <w:sz w:val="24"/>
          <w:szCs w:val="24"/>
        </w:rPr>
        <w:t>separate tax deductible</w:t>
      </w:r>
      <w:r w:rsidR="00BE38B6" w:rsidRPr="008B33AE">
        <w:rPr>
          <w:rFonts w:ascii="Times New Roman" w:eastAsia="Times New Roman" w:hAnsi="Times New Roman"/>
          <w:sz w:val="24"/>
          <w:szCs w:val="24"/>
        </w:rPr>
        <w:t xml:space="preserve"> interest expense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 </w:t>
      </w:r>
      <w:r w:rsidR="00BE38B6" w:rsidRPr="008B33AE">
        <w:rPr>
          <w:rFonts w:ascii="Times New Roman" w:eastAsia="Times New Roman" w:hAnsi="Times New Roman"/>
          <w:sz w:val="24"/>
          <w:szCs w:val="24"/>
        </w:rPr>
        <w:t xml:space="preserve">(which may also be 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limited by the new tax laws) from imputed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non-tax deductible </w:t>
      </w:r>
      <w:r w:rsidRPr="008B33AE">
        <w:rPr>
          <w:rFonts w:ascii="Times New Roman" w:eastAsia="Times New Roman" w:hAnsi="Times New Roman"/>
          <w:sz w:val="24"/>
          <w:szCs w:val="24"/>
        </w:rPr>
        <w:t>interest (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in which case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CF8">
        <w:rPr>
          <w:rFonts w:ascii="Times New Roman" w:eastAsia="Times New Roman" w:hAnsi="Times New Roman"/>
          <w:sz w:val="24"/>
          <w:szCs w:val="24"/>
        </w:rPr>
        <w:t>lessees would deduct the rents accrued to be paid).   </w:t>
      </w:r>
    </w:p>
    <w:p w14:paraId="25D763E6" w14:textId="77777777" w:rsidR="00BF4F23" w:rsidRPr="00686CF8" w:rsidRDefault="00BF4F23" w:rsidP="00BF4F23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686CF8">
        <w:rPr>
          <w:rFonts w:ascii="Times New Roman" w:eastAsia="Times New Roman" w:hAnsi="Times New Roman"/>
          <w:b/>
          <w:sz w:val="24"/>
          <w:szCs w:val="24"/>
        </w:rPr>
        <w:t>Migration accounting issues</w:t>
      </w:r>
      <w:r w:rsidR="00AF152F" w:rsidRPr="00686CF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686CF8">
        <w:rPr>
          <w:rFonts w:ascii="Times New Roman" w:eastAsia="Times New Roman" w:hAnsi="Times New Roman"/>
          <w:sz w:val="24"/>
          <w:szCs w:val="24"/>
        </w:rPr>
        <w:t>Assuming lessees were properly recording their operating leases before the transition, some items that were on their balance sheet (when rents paid differs from rent expense accrued</w:t>
      </w:r>
      <w:r w:rsidR="007C4840" w:rsidRPr="00686CF8">
        <w:rPr>
          <w:rFonts w:ascii="Times New Roman" w:eastAsia="Times New Roman" w:hAnsi="Times New Roman"/>
          <w:sz w:val="24"/>
          <w:szCs w:val="24"/>
        </w:rPr>
        <w:t>,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for example when a lease has a </w:t>
      </w:r>
      <w:r w:rsidR="00494B02" w:rsidRPr="00686CF8">
        <w:rPr>
          <w:rFonts w:ascii="Times New Roman" w:eastAsia="Times New Roman" w:hAnsi="Times New Roman"/>
          <w:sz w:val="24"/>
          <w:szCs w:val="24"/>
        </w:rPr>
        <w:t>three-</w:t>
      </w:r>
      <w:r w:rsidRPr="00686CF8">
        <w:rPr>
          <w:rFonts w:ascii="Times New Roman" w:eastAsia="Times New Roman" w:hAnsi="Times New Roman"/>
          <w:sz w:val="24"/>
          <w:szCs w:val="24"/>
        </w:rPr>
        <w:t>month rent holiday)</w:t>
      </w:r>
      <w:r w:rsidR="007C4840" w:rsidRPr="00686CF8">
        <w:rPr>
          <w:rFonts w:ascii="Times New Roman" w:eastAsia="Times New Roman" w:hAnsi="Times New Roman"/>
          <w:sz w:val="24"/>
          <w:szCs w:val="24"/>
        </w:rPr>
        <w:t>,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must be rolled into the new </w:t>
      </w:r>
      <w:r w:rsidR="00BE38B6" w:rsidRPr="00686CF8">
        <w:rPr>
          <w:rFonts w:ascii="Times New Roman" w:eastAsia="Times New Roman" w:hAnsi="Times New Roman"/>
          <w:sz w:val="24"/>
          <w:szCs w:val="24"/>
        </w:rPr>
        <w:t>Right of Use (</w:t>
      </w:r>
      <w:r w:rsidRPr="00686CF8">
        <w:rPr>
          <w:rFonts w:ascii="Times New Roman" w:eastAsia="Times New Roman" w:hAnsi="Times New Roman"/>
          <w:sz w:val="24"/>
          <w:szCs w:val="24"/>
        </w:rPr>
        <w:t>ROU</w:t>
      </w:r>
      <w:r w:rsidR="00BE38B6" w:rsidRPr="00686CF8">
        <w:rPr>
          <w:rFonts w:ascii="Times New Roman" w:eastAsia="Times New Roman" w:hAnsi="Times New Roman"/>
          <w:sz w:val="24"/>
          <w:szCs w:val="24"/>
        </w:rPr>
        <w:t>)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asset. Also, for lessees with deferred book gains, for instance from prior sale leasebacks, the deferred gain balance flows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directly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to equity on implementation; previously they were amortized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as a reduction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against current rent expense. So the lessee will see an </w:t>
      </w:r>
      <w:r w:rsidRPr="00B521DF">
        <w:rPr>
          <w:rFonts w:ascii="Times New Roman" w:eastAsia="Times New Roman" w:hAnsi="Times New Roman"/>
          <w:sz w:val="24"/>
          <w:szCs w:val="24"/>
          <w:u w:val="single"/>
        </w:rPr>
        <w:t>increase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in rent expense although nothing had changed with the lease</w:t>
      </w:r>
      <w:r w:rsidR="008B33AE">
        <w:rPr>
          <w:rFonts w:ascii="Times New Roman" w:eastAsia="Times New Roman" w:hAnsi="Times New Roman"/>
          <w:sz w:val="24"/>
          <w:szCs w:val="24"/>
        </w:rPr>
        <w:t>,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only the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implementation of the new </w:t>
      </w:r>
      <w:r w:rsidRPr="008B33AE">
        <w:rPr>
          <w:rFonts w:ascii="Times New Roman" w:eastAsia="Times New Roman" w:hAnsi="Times New Roman"/>
          <w:sz w:val="24"/>
          <w:szCs w:val="24"/>
        </w:rPr>
        <w:t>standard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.</w:t>
      </w:r>
    </w:p>
    <w:p w14:paraId="532045EC" w14:textId="77777777" w:rsidR="005A0166" w:rsidRPr="00686CF8" w:rsidRDefault="005A0166" w:rsidP="005A0166">
      <w:pPr>
        <w:pStyle w:val="ListParagraph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686CF8">
        <w:rPr>
          <w:rFonts w:ascii="Times New Roman" w:eastAsia="Times New Roman" w:hAnsi="Times New Roman"/>
          <w:sz w:val="24"/>
          <w:szCs w:val="24"/>
        </w:rPr>
        <w:tab/>
      </w:r>
    </w:p>
    <w:p w14:paraId="182740A2" w14:textId="77777777" w:rsidR="00ED7529" w:rsidRPr="00686CF8" w:rsidRDefault="00A33FF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86CF8">
        <w:rPr>
          <w:rFonts w:ascii="Times New Roman" w:hAnsi="Times New Roman"/>
          <w:b/>
          <w:sz w:val="24"/>
          <w:szCs w:val="24"/>
        </w:rPr>
        <w:t xml:space="preserve">Benefits of Leasing </w:t>
      </w:r>
      <w:r w:rsidR="00054962" w:rsidRPr="00686CF8">
        <w:rPr>
          <w:rFonts w:ascii="Times New Roman" w:hAnsi="Times New Roman"/>
          <w:b/>
          <w:sz w:val="24"/>
          <w:szCs w:val="24"/>
        </w:rPr>
        <w:t>Remain</w:t>
      </w:r>
    </w:p>
    <w:p w14:paraId="34E74EC9" w14:textId="77777777" w:rsidR="00ED7529" w:rsidRPr="00686CF8" w:rsidRDefault="00A33FFE">
      <w:pPr>
        <w:spacing w:line="360" w:lineRule="auto"/>
        <w:rPr>
          <w:rFonts w:ascii="Times New Roman" w:hAnsi="Times New Roman"/>
          <w:sz w:val="24"/>
          <w:szCs w:val="24"/>
        </w:rPr>
      </w:pPr>
      <w:r w:rsidRPr="00686CF8">
        <w:rPr>
          <w:rFonts w:ascii="Times New Roman" w:hAnsi="Times New Roman"/>
          <w:sz w:val="24"/>
          <w:szCs w:val="24"/>
        </w:rPr>
        <w:tab/>
      </w:r>
      <w:r w:rsidR="00054962" w:rsidRPr="00686CF8">
        <w:rPr>
          <w:rFonts w:ascii="Times New Roman" w:hAnsi="Times New Roman"/>
          <w:color w:val="000000"/>
          <w:sz w:val="24"/>
          <w:szCs w:val="24"/>
        </w:rPr>
        <w:t xml:space="preserve">For the nearly 8 out of 10 </w:t>
      </w:r>
      <w:r w:rsidRPr="00686CF8">
        <w:rPr>
          <w:rFonts w:ascii="Times New Roman" w:hAnsi="Times New Roman"/>
          <w:color w:val="000000"/>
          <w:sz w:val="24"/>
          <w:szCs w:val="24"/>
        </w:rPr>
        <w:t xml:space="preserve">U.S. businesses </w:t>
      </w:r>
      <w:r w:rsidR="00054962" w:rsidRPr="00686CF8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Pr="00686CF8">
        <w:rPr>
          <w:rFonts w:ascii="Times New Roman" w:hAnsi="Times New Roman"/>
          <w:color w:val="000000"/>
          <w:sz w:val="24"/>
          <w:szCs w:val="24"/>
        </w:rPr>
        <w:t xml:space="preserve">finance their equipment acquisitions, </w:t>
      </w:r>
      <w:r w:rsidR="00054962" w:rsidRPr="00686CF8">
        <w:rPr>
          <w:rFonts w:ascii="Times New Roman" w:hAnsi="Times New Roman"/>
          <w:color w:val="000000"/>
          <w:sz w:val="24"/>
          <w:szCs w:val="24"/>
        </w:rPr>
        <w:t>the</w:t>
      </w:r>
      <w:r w:rsidRPr="00686CF8">
        <w:rPr>
          <w:rFonts w:ascii="Times New Roman" w:hAnsi="Times New Roman"/>
          <w:color w:val="000000"/>
          <w:sz w:val="24"/>
          <w:szCs w:val="24"/>
        </w:rPr>
        <w:t xml:space="preserve"> reasons why they do remain intact </w:t>
      </w:r>
      <w:r w:rsidRPr="00686CF8">
        <w:rPr>
          <w:rFonts w:ascii="Times New Roman" w:hAnsi="Times New Roman"/>
          <w:sz w:val="24"/>
          <w:szCs w:val="24"/>
        </w:rPr>
        <w:t>under ASC 842:</w:t>
      </w:r>
    </w:p>
    <w:p w14:paraId="28C636E2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Tax management – Leasing allows lessees to more efficiently manage some of their taxes; when they cannot utilize all the deductions, the lessors can and are able</w:t>
      </w:r>
      <w:r w:rsidR="00106F47">
        <w:t xml:space="preserve"> to</w:t>
      </w:r>
      <w:r w:rsidRPr="00686CF8">
        <w:t xml:space="preserve"> pass the benefits through via lower rates.</w:t>
      </w:r>
      <w:r w:rsidR="00B0247E" w:rsidRPr="00686CF8">
        <w:t xml:space="preserve"> It also shifts the risk of future tax-rate increases to the lessor. </w:t>
      </w:r>
      <w:r w:rsidR="00B521DF" w:rsidRPr="008B33AE">
        <w:t xml:space="preserve">The Tax Cuts and Jobs Act </w:t>
      </w:r>
      <w:r w:rsidR="00106F47">
        <w:t xml:space="preserve">of 2017 </w:t>
      </w:r>
      <w:r w:rsidR="00B521DF" w:rsidRPr="008B33AE">
        <w:t>makes tax leasing even more important than previously.</w:t>
      </w:r>
      <w:r w:rsidR="00B521DF">
        <w:t xml:space="preserve">   </w:t>
      </w:r>
      <w:r w:rsidR="00B0247E" w:rsidRPr="00686CF8">
        <w:t xml:space="preserve"> </w:t>
      </w:r>
      <w:r w:rsidRPr="00686CF8">
        <w:t xml:space="preserve">    </w:t>
      </w:r>
    </w:p>
    <w:p w14:paraId="573448FA" w14:textId="77777777" w:rsidR="00ED7529" w:rsidRPr="00686CF8" w:rsidRDefault="00ED7529">
      <w:pPr>
        <w:pStyle w:val="NormalWeb"/>
        <w:spacing w:before="0" w:beforeAutospacing="0" w:after="0" w:afterAutospacing="0"/>
        <w:ind w:left="360"/>
      </w:pPr>
    </w:p>
    <w:p w14:paraId="0BE08699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Finance 100%</w:t>
      </w:r>
      <w:r w:rsidRPr="00686CF8">
        <w:rPr>
          <w:b/>
        </w:rPr>
        <w:t xml:space="preserve"> - </w:t>
      </w:r>
      <w:r w:rsidRPr="00686CF8">
        <w:t xml:space="preserve">Arrange 100% financing of equipment, software and services with 0% down payment while </w:t>
      </w:r>
      <w:r w:rsidR="00BE38B6" w:rsidRPr="00686CF8">
        <w:t xml:space="preserve">often </w:t>
      </w:r>
      <w:r w:rsidRPr="00686CF8">
        <w:t xml:space="preserve">still recording less than 100% on your balance sheet. </w:t>
      </w:r>
    </w:p>
    <w:p w14:paraId="3F986503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5467FE3A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Keep up-to-date and avoid residual value risk</w:t>
      </w:r>
      <w:r w:rsidR="000A67AA">
        <w:t xml:space="preserve"> - </w:t>
      </w:r>
      <w:r w:rsidRPr="00686CF8">
        <w:t xml:space="preserve">Keep current with technology by acquiring more and better equipment </w:t>
      </w:r>
      <w:r w:rsidR="00BE38B6" w:rsidRPr="00686CF8">
        <w:t xml:space="preserve">more frequently </w:t>
      </w:r>
      <w:r w:rsidRPr="00686CF8">
        <w:t xml:space="preserve">compared to loan financing and avoid residual risk </w:t>
      </w:r>
      <w:r w:rsidR="00BE38B6" w:rsidRPr="00686CF8">
        <w:t>(</w:t>
      </w:r>
      <w:r w:rsidRPr="00686CF8">
        <w:t>because the lessor assumes that risk</w:t>
      </w:r>
      <w:r w:rsidR="00BE38B6" w:rsidRPr="00686CF8">
        <w:t>)</w:t>
      </w:r>
      <w:r w:rsidRPr="00686CF8">
        <w:t xml:space="preserve">. </w:t>
      </w:r>
    </w:p>
    <w:p w14:paraId="3490E49E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359F4A4E" w14:textId="77777777" w:rsidR="00ED7529" w:rsidRPr="00686CF8" w:rsidRDefault="00B0247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 xml:space="preserve">Improved </w:t>
      </w:r>
      <w:r w:rsidR="00A33FFE" w:rsidRPr="00686CF8">
        <w:t>ROI/ROA</w:t>
      </w:r>
      <w:r w:rsidRPr="00686CF8">
        <w:t xml:space="preserve"> compared to a loan</w:t>
      </w:r>
      <w:r w:rsidR="00106F47">
        <w:t xml:space="preserve"> -</w:t>
      </w:r>
      <w:r w:rsidR="00A33FFE" w:rsidRPr="00686CF8">
        <w:t xml:space="preserve"> Rather than capitalizing 100% of an asset, a capitalized lease is generally reported at a lesser amount.  </w:t>
      </w:r>
    </w:p>
    <w:p w14:paraId="3AF2620F" w14:textId="77777777" w:rsidR="00ED7529" w:rsidRPr="00686CF8" w:rsidRDefault="00ED7529">
      <w:pPr>
        <w:pStyle w:val="ListParagraph"/>
      </w:pPr>
    </w:p>
    <w:p w14:paraId="7FA8BD7A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Cash flow management - Make smaller more manageable and flexible payments while the equipment generates revenue.</w:t>
      </w:r>
    </w:p>
    <w:p w14:paraId="0779DDF8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69453541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Benefit from bundling</w:t>
      </w:r>
      <w:r w:rsidR="00106F47">
        <w:t xml:space="preserve"> -</w:t>
      </w:r>
      <w:r w:rsidRPr="00686CF8">
        <w:t xml:space="preserve"> Bundle the equipment, installation, maintenance and more into a single, easy-to-manage solution.</w:t>
      </w:r>
    </w:p>
    <w:p w14:paraId="1F18E75E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1970B214" w14:textId="77777777" w:rsidR="00ED7529" w:rsidRPr="00686CF8" w:rsidRDefault="00B0247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 xml:space="preserve">Preserve </w:t>
      </w:r>
      <w:r w:rsidR="00A33FFE" w:rsidRPr="00686CF8">
        <w:t>cash</w:t>
      </w:r>
      <w:r w:rsidRPr="00686CF8">
        <w:t xml:space="preserve"> and bank credit lines</w:t>
      </w:r>
      <w:r w:rsidR="00106F47">
        <w:t xml:space="preserve"> -</w:t>
      </w:r>
      <w:r w:rsidR="00A33FFE" w:rsidRPr="00686CF8">
        <w:t xml:space="preserve"> </w:t>
      </w:r>
      <w:r w:rsidRPr="00686CF8">
        <w:t xml:space="preserve">Preserve available and often </w:t>
      </w:r>
      <w:r w:rsidR="00A33FFE" w:rsidRPr="00686CF8">
        <w:t xml:space="preserve">limited cash </w:t>
      </w:r>
      <w:r w:rsidRPr="00686CF8">
        <w:t xml:space="preserve">resources </w:t>
      </w:r>
      <w:r w:rsidR="00A33FFE" w:rsidRPr="00686CF8">
        <w:t>for other areas of the business, such as expansion, improvements, marketing or R&amp;D.</w:t>
      </w:r>
    </w:p>
    <w:p w14:paraId="136C7432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42B26E37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Outsource asset management</w:t>
      </w:r>
      <w:r w:rsidR="00106F47">
        <w:t xml:space="preserve"> -</w:t>
      </w:r>
      <w:r w:rsidRPr="00686CF8">
        <w:t xml:space="preserve"> The equipment financing company can manage an organization’s equipment from delivery to disposal.</w:t>
      </w:r>
      <w:r w:rsidR="00B0247E" w:rsidRPr="00686CF8">
        <w:t xml:space="preserve"> A user no longer needs to figure out how to resell an asset. </w:t>
      </w:r>
    </w:p>
    <w:p w14:paraId="523B1BD5" w14:textId="77777777" w:rsidR="00ED7529" w:rsidRDefault="00ED7529">
      <w:pPr>
        <w:pStyle w:val="NormalWeb"/>
        <w:spacing w:before="0" w:beforeAutospacing="0" w:after="0" w:afterAutospacing="0"/>
      </w:pPr>
    </w:p>
    <w:p w14:paraId="40A78AC7" w14:textId="77777777" w:rsidR="00ED7529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Customize terms</w:t>
      </w:r>
      <w:r w:rsidR="00106F47">
        <w:t xml:space="preserve"> -</w:t>
      </w:r>
      <w:r>
        <w:t xml:space="preserve"> Set customized payments to match cash flow and even seasonal income fluctuations.</w:t>
      </w:r>
    </w:p>
    <w:p w14:paraId="7683CA4F" w14:textId="77777777" w:rsidR="00ED7529" w:rsidRDefault="00ED7529">
      <w:pPr>
        <w:pStyle w:val="NormalWeb"/>
        <w:spacing w:before="0" w:beforeAutospacing="0" w:after="0" w:afterAutospacing="0"/>
      </w:pPr>
    </w:p>
    <w:p w14:paraId="38F5269F" w14:textId="77777777" w:rsidR="00ED7529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Hedge against inflation</w:t>
      </w:r>
      <w:r w:rsidR="00106F47">
        <w:t xml:space="preserve"> -</w:t>
      </w:r>
      <w:r>
        <w:t xml:space="preserve"> Lock in rates with a lease to avoid future inflation. </w:t>
      </w:r>
    </w:p>
    <w:p w14:paraId="2FD76739" w14:textId="77777777" w:rsidR="00ED7529" w:rsidRDefault="00ED752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59FB7CA" w14:textId="77777777" w:rsidR="00ED7529" w:rsidRPr="009F76B8" w:rsidRDefault="00A33FF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It’s important to check with a professional tax advisor or accountant who can address </w:t>
      </w:r>
      <w:r w:rsidR="00106F47">
        <w:rPr>
          <w:rFonts w:ascii="Times New Roman" w:hAnsi="Times New Roman"/>
          <w:sz w:val="24"/>
          <w:szCs w:val="24"/>
        </w:rPr>
        <w:t xml:space="preserve">your </w:t>
      </w:r>
      <w:r>
        <w:rPr>
          <w:rFonts w:ascii="Times New Roman" w:hAnsi="Times New Roman"/>
          <w:sz w:val="24"/>
          <w:szCs w:val="24"/>
        </w:rPr>
        <w:t xml:space="preserve">business’s particular situation. With adequate information and </w:t>
      </w:r>
      <w:r w:rsidR="00712F44">
        <w:rPr>
          <w:rFonts w:ascii="Times New Roman" w:hAnsi="Times New Roman"/>
          <w:sz w:val="24"/>
          <w:szCs w:val="24"/>
        </w:rPr>
        <w:t>additional time</w:t>
      </w:r>
      <w:r>
        <w:rPr>
          <w:rFonts w:ascii="Times New Roman" w:hAnsi="Times New Roman"/>
          <w:sz w:val="24"/>
          <w:szCs w:val="24"/>
        </w:rPr>
        <w:t xml:space="preserve"> to implement ASC 842, lessees can continue to reap the advantages of financing. For more information</w:t>
      </w:r>
      <w:r w:rsidRPr="009F76B8">
        <w:rPr>
          <w:rFonts w:ascii="Times New Roman" w:hAnsi="Times New Roman"/>
          <w:color w:val="000000"/>
          <w:sz w:val="24"/>
          <w:szCs w:val="24"/>
        </w:rPr>
        <w:t xml:space="preserve">, please visit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www.equipmentfinanceadvantage.org/newLAR.cfm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0B5AC888" w14:textId="77777777" w:rsidR="00ED7529" w:rsidRDefault="00ED7529">
      <w:pPr>
        <w:rPr>
          <w:rFonts w:ascii="Times New Roman" w:eastAsia="Times New Roman" w:hAnsi="Times New Roman"/>
          <w:sz w:val="24"/>
          <w:szCs w:val="24"/>
        </w:rPr>
      </w:pPr>
    </w:p>
    <w:p w14:paraId="34CBBE88" w14:textId="77777777" w:rsidR="00ED7529" w:rsidRDefault="00ED7529">
      <w:pPr>
        <w:rPr>
          <w:rFonts w:ascii="Times New Roman" w:hAnsi="Times New Roman"/>
          <w:sz w:val="24"/>
          <w:szCs w:val="24"/>
        </w:rPr>
      </w:pPr>
    </w:p>
    <w:p w14:paraId="075938EF" w14:textId="77777777" w:rsidR="00ED7529" w:rsidRPr="009F76B8" w:rsidRDefault="00A33FF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76B8">
        <w:rPr>
          <w:rFonts w:ascii="Times New Roman" w:hAnsi="Times New Roman"/>
          <w:b/>
          <w:bCs/>
          <w:color w:val="000000"/>
          <w:sz w:val="24"/>
          <w:szCs w:val="24"/>
        </w:rPr>
        <w:t>About the author</w:t>
      </w:r>
    </w:p>
    <w:p w14:paraId="04E9CDEB" w14:textId="77777777" w:rsidR="00ED7529" w:rsidRDefault="00A33FFE">
      <w:pPr>
        <w:rPr>
          <w:rFonts w:ascii="Times New Roman" w:hAnsi="Times New Roman"/>
          <w:sz w:val="24"/>
          <w:szCs w:val="24"/>
        </w:rPr>
      </w:pPr>
      <w:r w:rsidRPr="009F76B8">
        <w:rPr>
          <w:rFonts w:ascii="Times New Roman" w:hAnsi="Times New Roman"/>
          <w:bCs/>
          <w:color w:val="000000"/>
          <w:sz w:val="24"/>
          <w:szCs w:val="24"/>
        </w:rPr>
        <w:t xml:space="preserve">Ralph Petta is the President and CEO of the </w:t>
      </w:r>
      <w:r w:rsidRPr="009F76B8">
        <w:rPr>
          <w:rFonts w:ascii="Times New Roman" w:hAnsi="Times New Roman"/>
          <w:color w:val="000000"/>
          <w:sz w:val="24"/>
          <w:szCs w:val="24"/>
        </w:rPr>
        <w:t xml:space="preserve">Equipment Leasing and Finance Association (ELFA), the trade association that represents companies in the </w:t>
      </w:r>
      <w:r w:rsidR="00054962" w:rsidRPr="009F76B8">
        <w:rPr>
          <w:rFonts w:ascii="Times New Roman" w:hAnsi="Times New Roman"/>
          <w:color w:val="000000"/>
          <w:sz w:val="24"/>
          <w:szCs w:val="24"/>
        </w:rPr>
        <w:t xml:space="preserve">nearly </w:t>
      </w:r>
      <w:r w:rsidRPr="009F76B8">
        <w:rPr>
          <w:rFonts w:ascii="Times New Roman" w:hAnsi="Times New Roman"/>
          <w:color w:val="000000"/>
          <w:sz w:val="24"/>
          <w:szCs w:val="24"/>
        </w:rPr>
        <w:t xml:space="preserve">$1 trillion equipment finance sector, which includes financial services companies and manufacturers engaged in financing capital goods. </w:t>
      </w:r>
      <w:r>
        <w:rPr>
          <w:rFonts w:ascii="Times New Roman" w:hAnsi="Times New Roman"/>
          <w:sz w:val="24"/>
          <w:szCs w:val="24"/>
        </w:rPr>
        <w:t xml:space="preserve">ELFA has been equipping business for success for more than 50 years. </w:t>
      </w:r>
      <w:r>
        <w:rPr>
          <w:rFonts w:ascii="Times New Roman" w:hAnsi="Times New Roman"/>
          <w:color w:val="000000"/>
          <w:sz w:val="24"/>
          <w:szCs w:val="24"/>
        </w:rPr>
        <w:t>For more information on equipment financing, please visit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www.EquipmentFinanceAdvantage.org</w:t>
        </w:r>
      </w:hyperlink>
      <w:r>
        <w:rPr>
          <w:rFonts w:ascii="Times New Roman" w:hAnsi="Times New Roman"/>
          <w:sz w:val="24"/>
          <w:szCs w:val="24"/>
        </w:rPr>
        <w:t xml:space="preserve"> and fo</w:t>
      </w:r>
      <w:r>
        <w:rPr>
          <w:rFonts w:ascii="Times New Roman" w:hAnsi="Times New Roman"/>
          <w:color w:val="000000"/>
          <w:sz w:val="24"/>
          <w:szCs w:val="24"/>
        </w:rPr>
        <w:t xml:space="preserve">llow ELFA on Twitter @elfaonline. </w:t>
      </w:r>
    </w:p>
    <w:p w14:paraId="188D607A" w14:textId="77777777" w:rsidR="00ED7529" w:rsidRDefault="00ED7529">
      <w:pPr>
        <w:pStyle w:val="Heading1"/>
        <w:spacing w:before="0" w:after="0" w:line="240" w:lineRule="auto"/>
        <w:jc w:val="center"/>
      </w:pPr>
    </w:p>
    <w:p w14:paraId="02BAF354" w14:textId="143CB98C" w:rsidR="00ED7529" w:rsidRDefault="00A33FFE">
      <w:pPr>
        <w:spacing w:after="1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©Equipment Leasing and Finance Association 20</w:t>
      </w:r>
      <w:r w:rsidR="00A01C7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Reprinted with permission.</w:t>
      </w:r>
    </w:p>
    <w:p w14:paraId="59158A2C" w14:textId="77777777" w:rsidR="00ED7529" w:rsidRDefault="00A33FF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Disclaimer: The information in this document is a summary only and does not constitute financial advice. Readers should obtain their own independent accounting and tax advice that takes into account all relevant aspects of a particular lessor’s or lessee’s business and products.</w:t>
      </w:r>
      <w:r w:rsidRPr="009F76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ED7529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38670" w14:textId="77777777" w:rsidR="00CE309F" w:rsidRDefault="00CE309F">
      <w:r>
        <w:separator/>
      </w:r>
    </w:p>
  </w:endnote>
  <w:endnote w:type="continuationSeparator" w:id="0">
    <w:p w14:paraId="138DF00F" w14:textId="77777777" w:rsidR="00CE309F" w:rsidRDefault="00CE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D6C9" w14:textId="77777777" w:rsidR="00CE309F" w:rsidRDefault="00CE309F">
      <w:r>
        <w:separator/>
      </w:r>
    </w:p>
  </w:footnote>
  <w:footnote w:type="continuationSeparator" w:id="0">
    <w:p w14:paraId="6AD5196C" w14:textId="77777777" w:rsidR="00CE309F" w:rsidRDefault="00CE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80AB9" w14:textId="77777777" w:rsidR="00ED7529" w:rsidRDefault="001A103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649784" wp14:editId="6115955E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076450" cy="771525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F66DD"/>
    <w:multiLevelType w:val="hybridMultilevel"/>
    <w:tmpl w:val="1CE4B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6E6211"/>
    <w:multiLevelType w:val="hybridMultilevel"/>
    <w:tmpl w:val="CFF8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74742"/>
    <w:multiLevelType w:val="hybridMultilevel"/>
    <w:tmpl w:val="F7B2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2911"/>
    <w:multiLevelType w:val="hybridMultilevel"/>
    <w:tmpl w:val="6CAC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29"/>
    <w:rsid w:val="00025BA2"/>
    <w:rsid w:val="00045FAE"/>
    <w:rsid w:val="00054962"/>
    <w:rsid w:val="000A67AA"/>
    <w:rsid w:val="000B1E0C"/>
    <w:rsid w:val="000D2DBF"/>
    <w:rsid w:val="00106F47"/>
    <w:rsid w:val="00151764"/>
    <w:rsid w:val="001824DC"/>
    <w:rsid w:val="001A1031"/>
    <w:rsid w:val="001C1270"/>
    <w:rsid w:val="001E22AC"/>
    <w:rsid w:val="002156B1"/>
    <w:rsid w:val="002178BC"/>
    <w:rsid w:val="00256186"/>
    <w:rsid w:val="002B5F6E"/>
    <w:rsid w:val="002E445A"/>
    <w:rsid w:val="00301EDF"/>
    <w:rsid w:val="00306DC5"/>
    <w:rsid w:val="003B0A21"/>
    <w:rsid w:val="003E3FAB"/>
    <w:rsid w:val="003F4046"/>
    <w:rsid w:val="00494B02"/>
    <w:rsid w:val="004A033A"/>
    <w:rsid w:val="005169A5"/>
    <w:rsid w:val="00534F99"/>
    <w:rsid w:val="005428F9"/>
    <w:rsid w:val="0055728D"/>
    <w:rsid w:val="005A0166"/>
    <w:rsid w:val="005D12A8"/>
    <w:rsid w:val="005E1A1F"/>
    <w:rsid w:val="005E3BFA"/>
    <w:rsid w:val="00660746"/>
    <w:rsid w:val="00686CF8"/>
    <w:rsid w:val="006914F6"/>
    <w:rsid w:val="006A4FEC"/>
    <w:rsid w:val="006C08F3"/>
    <w:rsid w:val="007050E4"/>
    <w:rsid w:val="00712F44"/>
    <w:rsid w:val="00794F93"/>
    <w:rsid w:val="007A48F3"/>
    <w:rsid w:val="007C4840"/>
    <w:rsid w:val="007F4E01"/>
    <w:rsid w:val="0085089F"/>
    <w:rsid w:val="00855B6A"/>
    <w:rsid w:val="008B33AE"/>
    <w:rsid w:val="009335B0"/>
    <w:rsid w:val="0094759F"/>
    <w:rsid w:val="00975F9E"/>
    <w:rsid w:val="0099204E"/>
    <w:rsid w:val="009E51D8"/>
    <w:rsid w:val="009E5A00"/>
    <w:rsid w:val="009F76B8"/>
    <w:rsid w:val="00A01C74"/>
    <w:rsid w:val="00A156ED"/>
    <w:rsid w:val="00A23C95"/>
    <w:rsid w:val="00A33FFE"/>
    <w:rsid w:val="00AD289A"/>
    <w:rsid w:val="00AF152F"/>
    <w:rsid w:val="00AF66B3"/>
    <w:rsid w:val="00AF7BD5"/>
    <w:rsid w:val="00B0247E"/>
    <w:rsid w:val="00B06457"/>
    <w:rsid w:val="00B521DF"/>
    <w:rsid w:val="00B54A82"/>
    <w:rsid w:val="00B94C35"/>
    <w:rsid w:val="00BB3A57"/>
    <w:rsid w:val="00BE38B6"/>
    <w:rsid w:val="00BF4F23"/>
    <w:rsid w:val="00C15BF9"/>
    <w:rsid w:val="00C5410A"/>
    <w:rsid w:val="00C85D7D"/>
    <w:rsid w:val="00C965F0"/>
    <w:rsid w:val="00CB1FC8"/>
    <w:rsid w:val="00CE309F"/>
    <w:rsid w:val="00D00857"/>
    <w:rsid w:val="00D11DF5"/>
    <w:rsid w:val="00D36741"/>
    <w:rsid w:val="00D77AB9"/>
    <w:rsid w:val="00DA17BB"/>
    <w:rsid w:val="00E231D4"/>
    <w:rsid w:val="00E31CEE"/>
    <w:rsid w:val="00E43AB5"/>
    <w:rsid w:val="00E80AD8"/>
    <w:rsid w:val="00E821C7"/>
    <w:rsid w:val="00EC0D9A"/>
    <w:rsid w:val="00ED7529"/>
    <w:rsid w:val="00F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1366"/>
  <w15:docId w15:val="{590201BD-5C90-4E9A-8B8A-BB66536F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 w:line="360" w:lineRule="auto"/>
      <w:ind w:firstLine="720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alibri" w:hAnsi="Calibri" w:cs="Times New Roman"/>
    </w:rPr>
  </w:style>
  <w:style w:type="character" w:customStyle="1" w:styleId="Heading1Char">
    <w:name w:val="Heading 1 Char"/>
    <w:link w:val="Heading1"/>
    <w:uiPriority w:val="9"/>
    <w:rPr>
      <w:rFonts w:ascii="Times New Roman" w:eastAsia="Calibri" w:hAnsi="Times New Roman" w:cs="Times New Roman"/>
      <w:b/>
      <w:bCs/>
      <w:kern w:val="36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ipmentfinanceadvantage.org/newLAR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quipmentFinanceAdvant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6199-514A-4B75-8F56-D348CFBB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7750</CharactersWithSpaces>
  <SharedDoc>false</SharedDoc>
  <HLinks>
    <vt:vector size="18" baseType="variant"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https://eur01.safelinks.protection.outlook.com/?url=https%3A%2F%2Fwww.journalofaccountancy.com%2Fnews%2F2019%2Faug%2Ffasb-effective-date-delays-201921648.html%3Futm_source%3Dmnl%3Acpald%26utm_medium%3Demail%26utm_campaign%3D29Aug2019&amp;data=02%7C01%7Cjoseph.sebik%40siemens.com%7C129fc7108fb94a00227c08d76791ee8e%7C38ae3bcd95794fd4addab42e1495d55a%7C1%7C0%7C637091748784020393&amp;sdata=bfnUi9BRPCYMJ89e5z5yCB4jkcenP420%2B1Y1ckb0g40%3D&amp;reserved=0</vt:lpwstr>
      </vt:variant>
      <vt:variant>
        <vt:lpwstr/>
      </vt:variant>
      <vt:variant>
        <vt:i4>4456450</vt:i4>
      </vt:variant>
      <vt:variant>
        <vt:i4>3</vt:i4>
      </vt:variant>
      <vt:variant>
        <vt:i4>0</vt:i4>
      </vt:variant>
      <vt:variant>
        <vt:i4>5</vt:i4>
      </vt:variant>
      <vt:variant>
        <vt:lpwstr>http://www.equipmentfinanceadvantage.org/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http://www.equipmentfinanceadvantage.org/newLAR.cfm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Petta</dc:creator>
  <cp:keywords>C_Unrestricted</cp:keywords>
  <cp:lastModifiedBy>Diane Johnson</cp:lastModifiedBy>
  <cp:revision>4</cp:revision>
  <dcterms:created xsi:type="dcterms:W3CDTF">2020-09-14T15:41:00Z</dcterms:created>
  <dcterms:modified xsi:type="dcterms:W3CDTF">2020-09-14T15:48:00Z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1</vt:i4>
  </property>
  <property fmtid="{D5CDD505-2E9C-101B-9397-08002B2CF9AE}" pid="6" name="sodocoClasId">
    <vt:i4>0</vt:i4>
  </property>
</Properties>
</file>