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EFE" w:rsidRDefault="00CB3EFE" w:rsidP="00F21DD6">
      <w:pPr>
        <w:spacing w:after="0" w:line="240" w:lineRule="auto"/>
        <w:rPr>
          <w:rFonts w:ascii="Arial" w:hAnsi="Arial" w:cs="Arial"/>
        </w:rPr>
      </w:pPr>
    </w:p>
    <w:p w:rsidR="00CB3EFE" w:rsidRDefault="00CB3EFE" w:rsidP="00F21DD6">
      <w:pPr>
        <w:spacing w:after="0" w:line="240" w:lineRule="auto"/>
        <w:rPr>
          <w:rFonts w:ascii="Arial" w:hAnsi="Arial" w:cs="Arial"/>
        </w:rPr>
      </w:pPr>
    </w:p>
    <w:p w:rsidR="00CB3EFE" w:rsidRDefault="00CB3EFE" w:rsidP="00F21DD6">
      <w:pPr>
        <w:spacing w:after="0" w:line="240" w:lineRule="auto"/>
        <w:rPr>
          <w:rFonts w:ascii="Arial" w:hAnsi="Arial" w:cs="Arial"/>
        </w:rPr>
      </w:pPr>
      <w:r>
        <w:rPr>
          <w:b/>
          <w:bCs/>
          <w:noProof/>
        </w:rPr>
        <w:drawing>
          <wp:inline distT="0" distB="0" distL="0" distR="0">
            <wp:extent cx="2341245" cy="831215"/>
            <wp:effectExtent l="0" t="0" r="1905" b="6985"/>
            <wp:docPr id="1" name="Picture 1" descr="ELFA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FA_logo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1245" cy="831215"/>
                    </a:xfrm>
                    <a:prstGeom prst="rect">
                      <a:avLst/>
                    </a:prstGeom>
                    <a:noFill/>
                    <a:ln>
                      <a:noFill/>
                    </a:ln>
                  </pic:spPr>
                </pic:pic>
              </a:graphicData>
            </a:graphic>
          </wp:inline>
        </w:drawing>
      </w:r>
    </w:p>
    <w:p w:rsidR="00CB3EFE" w:rsidRDefault="00CB3EFE" w:rsidP="00F21DD6">
      <w:pPr>
        <w:spacing w:after="0" w:line="240" w:lineRule="auto"/>
        <w:rPr>
          <w:rFonts w:ascii="Arial" w:hAnsi="Arial" w:cs="Arial"/>
        </w:rPr>
      </w:pPr>
    </w:p>
    <w:p w:rsidR="00CB3EFE" w:rsidRDefault="00CB3EFE" w:rsidP="00F21DD6">
      <w:pPr>
        <w:spacing w:after="0" w:line="240" w:lineRule="auto"/>
        <w:rPr>
          <w:rFonts w:ascii="Arial" w:hAnsi="Arial" w:cs="Arial"/>
        </w:rPr>
      </w:pPr>
    </w:p>
    <w:p w:rsidR="002B62DA" w:rsidRDefault="002B62DA" w:rsidP="00F21DD6">
      <w:pPr>
        <w:spacing w:after="0" w:line="240" w:lineRule="auto"/>
        <w:rPr>
          <w:rFonts w:ascii="Arial" w:hAnsi="Arial" w:cs="Arial"/>
        </w:rPr>
      </w:pPr>
    </w:p>
    <w:p w:rsidR="00F21DD6" w:rsidRDefault="00FD673E" w:rsidP="00F21DD6">
      <w:pPr>
        <w:spacing w:after="0" w:line="240" w:lineRule="auto"/>
        <w:rPr>
          <w:rFonts w:ascii="Arial" w:hAnsi="Arial" w:cs="Arial"/>
        </w:rPr>
      </w:pPr>
      <w:r w:rsidRPr="0039466F">
        <w:rPr>
          <w:rFonts w:ascii="Arial" w:hAnsi="Arial" w:cs="Arial"/>
        </w:rPr>
        <w:t>Mr. Russell Golden</w:t>
      </w:r>
    </w:p>
    <w:p w:rsidR="00DF2397" w:rsidRPr="0039466F" w:rsidRDefault="00FD673E" w:rsidP="00FD673E">
      <w:pPr>
        <w:rPr>
          <w:rFonts w:ascii="Arial" w:hAnsi="Arial" w:cs="Arial"/>
        </w:rPr>
      </w:pPr>
      <w:r w:rsidRPr="0039466F">
        <w:rPr>
          <w:rFonts w:ascii="Arial" w:hAnsi="Arial" w:cs="Arial"/>
        </w:rPr>
        <w:t>Chairman</w:t>
      </w:r>
      <w:r w:rsidRPr="0039466F">
        <w:rPr>
          <w:rFonts w:ascii="Arial" w:hAnsi="Arial" w:cs="Arial"/>
        </w:rPr>
        <w:br/>
        <w:t>Financial Accounting Standards Board</w:t>
      </w:r>
      <w:r w:rsidRPr="0039466F">
        <w:rPr>
          <w:rFonts w:ascii="Arial" w:hAnsi="Arial" w:cs="Arial"/>
        </w:rPr>
        <w:br/>
        <w:t>401 Merritt 7</w:t>
      </w:r>
      <w:r w:rsidR="00DF2397">
        <w:rPr>
          <w:rFonts w:ascii="Arial" w:hAnsi="Arial" w:cs="Arial"/>
        </w:rPr>
        <w:t xml:space="preserve">, </w:t>
      </w:r>
      <w:r w:rsidRPr="0039466F">
        <w:rPr>
          <w:rFonts w:ascii="Arial" w:hAnsi="Arial" w:cs="Arial"/>
        </w:rPr>
        <w:t>PO Box 5116</w:t>
      </w:r>
      <w:r w:rsidRPr="0039466F">
        <w:rPr>
          <w:rFonts w:ascii="Arial" w:hAnsi="Arial" w:cs="Arial"/>
        </w:rPr>
        <w:br/>
        <w:t>Norwalk, CT  06856</w:t>
      </w:r>
    </w:p>
    <w:p w:rsidR="00FD673E" w:rsidRPr="0039466F" w:rsidRDefault="00681891" w:rsidP="00FD673E">
      <w:pPr>
        <w:rPr>
          <w:rFonts w:ascii="Arial" w:hAnsi="Arial" w:cs="Arial"/>
        </w:rPr>
      </w:pPr>
      <w:r>
        <w:rPr>
          <w:rFonts w:ascii="Arial" w:hAnsi="Arial" w:cs="Arial"/>
        </w:rPr>
        <w:t>September 10</w:t>
      </w:r>
      <w:r w:rsidR="007A3064">
        <w:rPr>
          <w:rFonts w:ascii="Arial" w:hAnsi="Arial" w:cs="Arial"/>
        </w:rPr>
        <w:t>, 20</w:t>
      </w:r>
      <w:r w:rsidR="00007636">
        <w:rPr>
          <w:rFonts w:ascii="Arial" w:hAnsi="Arial" w:cs="Arial"/>
        </w:rPr>
        <w:t>1</w:t>
      </w:r>
      <w:r w:rsidR="007A3064">
        <w:rPr>
          <w:rFonts w:ascii="Arial" w:hAnsi="Arial" w:cs="Arial"/>
        </w:rPr>
        <w:t>8</w:t>
      </w:r>
    </w:p>
    <w:p w:rsidR="00FD673E" w:rsidRDefault="007A3064" w:rsidP="00FD673E">
      <w:pPr>
        <w:pStyle w:val="Default"/>
        <w:rPr>
          <w:rFonts w:ascii="Arial" w:hAnsi="Arial" w:cs="Arial"/>
          <w:b/>
          <w:sz w:val="22"/>
          <w:szCs w:val="22"/>
        </w:rPr>
      </w:pPr>
      <w:r>
        <w:rPr>
          <w:rFonts w:ascii="Arial" w:hAnsi="Arial" w:cs="Arial"/>
          <w:b/>
          <w:sz w:val="22"/>
          <w:szCs w:val="22"/>
        </w:rPr>
        <w:t>Re: Proposed Accounting Standards Update</w:t>
      </w:r>
    </w:p>
    <w:p w:rsidR="007A3064" w:rsidRPr="00CB3EFE" w:rsidRDefault="007A3064" w:rsidP="00FD673E">
      <w:pPr>
        <w:pStyle w:val="Default"/>
        <w:rPr>
          <w:rFonts w:ascii="Arial" w:hAnsi="Arial" w:cs="Arial"/>
          <w:b/>
          <w:sz w:val="22"/>
          <w:szCs w:val="22"/>
        </w:rPr>
      </w:pPr>
      <w:r>
        <w:rPr>
          <w:rFonts w:ascii="Arial" w:hAnsi="Arial" w:cs="Arial"/>
          <w:b/>
          <w:sz w:val="22"/>
          <w:szCs w:val="22"/>
        </w:rPr>
        <w:t xml:space="preserve">       File Reference </w:t>
      </w:r>
      <w:r w:rsidR="00EC2998">
        <w:rPr>
          <w:rFonts w:ascii="Arial" w:hAnsi="Arial" w:cs="Arial"/>
          <w:b/>
          <w:sz w:val="22"/>
          <w:szCs w:val="22"/>
        </w:rPr>
        <w:t>2018-2</w:t>
      </w:r>
      <w:r w:rsidR="00681891">
        <w:rPr>
          <w:rFonts w:ascii="Arial" w:hAnsi="Arial" w:cs="Arial"/>
          <w:b/>
          <w:sz w:val="22"/>
          <w:szCs w:val="22"/>
        </w:rPr>
        <w:t>60</w:t>
      </w:r>
    </w:p>
    <w:p w:rsidR="00FD673E" w:rsidRPr="0039466F" w:rsidRDefault="00FD673E" w:rsidP="00FD673E">
      <w:pPr>
        <w:pStyle w:val="Default"/>
        <w:rPr>
          <w:rFonts w:ascii="Arial" w:hAnsi="Arial" w:cs="Arial"/>
          <w:sz w:val="22"/>
          <w:szCs w:val="22"/>
        </w:rPr>
      </w:pPr>
    </w:p>
    <w:p w:rsidR="00FD673E" w:rsidRPr="007A3064" w:rsidRDefault="007A3064" w:rsidP="007A3064">
      <w:pPr>
        <w:spacing w:after="0"/>
        <w:jc w:val="both"/>
        <w:rPr>
          <w:rFonts w:ascii="Arial" w:hAnsi="Arial" w:cs="Arial"/>
        </w:rPr>
      </w:pPr>
      <w:r w:rsidRPr="007A3064">
        <w:rPr>
          <w:rFonts w:ascii="Arial" w:hAnsi="Arial" w:cs="Arial"/>
        </w:rPr>
        <w:t xml:space="preserve">Submitted via electronic mail to </w:t>
      </w:r>
      <w:hyperlink r:id="rId9" w:history="1">
        <w:r w:rsidRPr="007A3064">
          <w:rPr>
            <w:rStyle w:val="Hyperlink"/>
            <w:rFonts w:ascii="Arial" w:hAnsi="Arial" w:cs="Arial"/>
          </w:rPr>
          <w:t>director@fasb.org</w:t>
        </w:r>
      </w:hyperlink>
    </w:p>
    <w:p w:rsidR="007A3064" w:rsidRPr="0039466F" w:rsidRDefault="007A3064" w:rsidP="00FD673E">
      <w:pPr>
        <w:pStyle w:val="Default"/>
        <w:rPr>
          <w:rFonts w:ascii="Arial" w:hAnsi="Arial" w:cs="Arial"/>
          <w:sz w:val="22"/>
          <w:szCs w:val="22"/>
        </w:rPr>
      </w:pPr>
    </w:p>
    <w:p w:rsidR="00FD673E" w:rsidRPr="0039466F" w:rsidRDefault="00FD673E" w:rsidP="00FD673E">
      <w:pPr>
        <w:rPr>
          <w:rFonts w:ascii="Arial" w:hAnsi="Arial" w:cs="Arial"/>
        </w:rPr>
      </w:pPr>
      <w:r w:rsidRPr="0039466F">
        <w:rPr>
          <w:rFonts w:ascii="Arial" w:hAnsi="Arial" w:cs="Arial"/>
        </w:rPr>
        <w:t xml:space="preserve">Dear </w:t>
      </w:r>
      <w:proofErr w:type="gramStart"/>
      <w:r w:rsidR="000F5F3E">
        <w:rPr>
          <w:rFonts w:ascii="Arial" w:hAnsi="Arial" w:cs="Arial"/>
        </w:rPr>
        <w:t>Chairman</w:t>
      </w:r>
      <w:proofErr w:type="gramEnd"/>
      <w:r w:rsidR="00F16861">
        <w:rPr>
          <w:rFonts w:ascii="Arial" w:hAnsi="Arial" w:cs="Arial"/>
        </w:rPr>
        <w:t xml:space="preserve"> Golden</w:t>
      </w:r>
      <w:r w:rsidRPr="0039466F">
        <w:rPr>
          <w:rFonts w:ascii="Arial" w:hAnsi="Arial" w:cs="Arial"/>
        </w:rPr>
        <w:t>:</w:t>
      </w:r>
    </w:p>
    <w:p w:rsidR="00CC4270" w:rsidRPr="00CC4270" w:rsidRDefault="00B027A2" w:rsidP="006D3F65">
      <w:r w:rsidRPr="001137B0">
        <w:rPr>
          <w:rFonts w:ascii="Arial" w:eastAsia="Times New Roman" w:hAnsi="Arial"/>
        </w:rPr>
        <w:t xml:space="preserve">The Equipment Leasing and Finance Association (ELFA) is the trade association that represents companies in the $1 trillion equipment finance sector, which includes financial services companies and manufacturers engaged in financing capital goods. ELFA members are the driving force behind the growth in the commercial equipment finance market and contribute to capital formation in the U.S. and abroad. Its 575 members include independent and captive leasing and finance companies, banks, financial services corporations, broker/packagers and investment banks, as well as manufacturers and service providers. For more information, please visit </w:t>
      </w:r>
      <w:hyperlink r:id="rId10" w:history="1">
        <w:r w:rsidRPr="001137B0">
          <w:rPr>
            <w:rStyle w:val="Hyperlink"/>
            <w:rFonts w:ascii="Arial" w:eastAsia="Times New Roman" w:hAnsi="Arial" w:cs="Times New Roman"/>
            <w:szCs w:val="24"/>
          </w:rPr>
          <w:t>www.elfaonline.org</w:t>
        </w:r>
      </w:hyperlink>
      <w:r w:rsidRPr="001137B0">
        <w:rPr>
          <w:rFonts w:ascii="Arial" w:eastAsia="Times New Roman" w:hAnsi="Arial"/>
        </w:rPr>
        <w:t xml:space="preserve">. </w:t>
      </w:r>
    </w:p>
    <w:p w:rsidR="00973BF3" w:rsidRDefault="00007636" w:rsidP="00681891">
      <w:pPr>
        <w:rPr>
          <w:rFonts w:ascii="Arial" w:hAnsi="Arial" w:cs="Arial"/>
        </w:rPr>
      </w:pPr>
      <w:r>
        <w:rPr>
          <w:rFonts w:ascii="Arial" w:hAnsi="Arial" w:cs="Arial"/>
        </w:rPr>
        <w:t>We at the ELFA</w:t>
      </w:r>
      <w:r w:rsidRPr="002B62DA">
        <w:rPr>
          <w:rFonts w:ascii="Arial" w:hAnsi="Arial" w:cs="Arial"/>
        </w:rPr>
        <w:t xml:space="preserve"> </w:t>
      </w:r>
      <w:r>
        <w:rPr>
          <w:rFonts w:ascii="Arial" w:hAnsi="Arial" w:cs="Arial"/>
        </w:rPr>
        <w:t>continue to follow developments in lease accounting</w:t>
      </w:r>
      <w:r w:rsidR="00973BF3">
        <w:rPr>
          <w:rFonts w:ascii="Arial" w:hAnsi="Arial" w:cs="Arial"/>
        </w:rPr>
        <w:t xml:space="preserve"> and monitor the </w:t>
      </w:r>
      <w:r>
        <w:rPr>
          <w:rFonts w:ascii="Arial" w:hAnsi="Arial" w:cs="Arial"/>
        </w:rPr>
        <w:t xml:space="preserve">implementation questions </w:t>
      </w:r>
      <w:r w:rsidR="00A60245">
        <w:rPr>
          <w:rFonts w:ascii="Arial" w:hAnsi="Arial" w:cs="Arial"/>
        </w:rPr>
        <w:t>raised</w:t>
      </w:r>
      <w:r w:rsidR="00973BF3">
        <w:rPr>
          <w:rFonts w:ascii="Arial" w:hAnsi="Arial" w:cs="Arial"/>
        </w:rPr>
        <w:t xml:space="preserve"> by our members </w:t>
      </w:r>
      <w:r w:rsidR="00A60245">
        <w:rPr>
          <w:rFonts w:ascii="Arial" w:hAnsi="Arial" w:cs="Arial"/>
        </w:rPr>
        <w:t>s</w:t>
      </w:r>
      <w:r w:rsidR="00973BF3">
        <w:rPr>
          <w:rFonts w:ascii="Arial" w:hAnsi="Arial" w:cs="Arial"/>
        </w:rPr>
        <w:t>ince the issuance of</w:t>
      </w:r>
      <w:r>
        <w:rPr>
          <w:rFonts w:ascii="Arial" w:hAnsi="Arial" w:cs="Arial"/>
        </w:rPr>
        <w:t xml:space="preserve"> </w:t>
      </w:r>
      <w:r w:rsidRPr="00007636">
        <w:rPr>
          <w:rFonts w:ascii="Arial" w:hAnsi="Arial" w:cs="Arial"/>
          <w:i/>
        </w:rPr>
        <w:t>Leases (Topic 842)</w:t>
      </w:r>
      <w:r>
        <w:rPr>
          <w:rFonts w:ascii="Arial" w:hAnsi="Arial" w:cs="Arial"/>
        </w:rPr>
        <w:t xml:space="preserve">. </w:t>
      </w:r>
      <w:r w:rsidRPr="002B62DA">
        <w:rPr>
          <w:rFonts w:ascii="Arial" w:hAnsi="Arial" w:cs="Arial"/>
        </w:rPr>
        <w:t xml:space="preserve"> </w:t>
      </w:r>
      <w:r>
        <w:rPr>
          <w:rFonts w:ascii="Arial" w:hAnsi="Arial" w:cs="Arial"/>
        </w:rPr>
        <w:t xml:space="preserve">We have been supportive of the </w:t>
      </w:r>
      <w:r w:rsidRPr="00EF4AF9">
        <w:rPr>
          <w:rFonts w:ascii="Arial" w:hAnsi="Arial" w:cs="Arial"/>
          <w:i/>
        </w:rPr>
        <w:t>Leases</w:t>
      </w:r>
      <w:r>
        <w:rPr>
          <w:rFonts w:ascii="Arial" w:hAnsi="Arial" w:cs="Arial"/>
        </w:rPr>
        <w:t xml:space="preserve"> project and the </w:t>
      </w:r>
      <w:r w:rsidR="00DB5BA3">
        <w:rPr>
          <w:rFonts w:ascii="Arial" w:hAnsi="Arial" w:cs="Arial"/>
        </w:rPr>
        <w:t xml:space="preserve">broad outlines of the </w:t>
      </w:r>
      <w:r>
        <w:rPr>
          <w:rFonts w:ascii="Arial" w:hAnsi="Arial" w:cs="Arial"/>
        </w:rPr>
        <w:t xml:space="preserve">approach to lessor and lessee accounting included in the standard.  </w:t>
      </w:r>
      <w:r w:rsidR="00DB5BA3">
        <w:rPr>
          <w:rFonts w:ascii="Arial" w:hAnsi="Arial" w:cs="Arial"/>
        </w:rPr>
        <w:t>W</w:t>
      </w:r>
      <w:r>
        <w:rPr>
          <w:rFonts w:ascii="Arial" w:hAnsi="Arial" w:cs="Arial"/>
        </w:rPr>
        <w:t xml:space="preserve">henever </w:t>
      </w:r>
      <w:r w:rsidR="00DB5BA3">
        <w:rPr>
          <w:rFonts w:ascii="Arial" w:hAnsi="Arial" w:cs="Arial"/>
        </w:rPr>
        <w:t xml:space="preserve">there is </w:t>
      </w:r>
      <w:r>
        <w:rPr>
          <w:rFonts w:ascii="Arial" w:hAnsi="Arial" w:cs="Arial"/>
        </w:rPr>
        <w:t xml:space="preserve">a change in accounting, </w:t>
      </w:r>
      <w:r w:rsidR="00867464">
        <w:rPr>
          <w:rFonts w:ascii="Arial" w:hAnsi="Arial" w:cs="Arial"/>
        </w:rPr>
        <w:t xml:space="preserve">however, </w:t>
      </w:r>
      <w:r>
        <w:rPr>
          <w:rFonts w:ascii="Arial" w:hAnsi="Arial" w:cs="Arial"/>
        </w:rPr>
        <w:t xml:space="preserve">there will </w:t>
      </w:r>
      <w:r w:rsidR="00114E92">
        <w:rPr>
          <w:rFonts w:ascii="Arial" w:hAnsi="Arial" w:cs="Arial"/>
        </w:rPr>
        <w:t xml:space="preserve">always </w:t>
      </w:r>
      <w:r>
        <w:rPr>
          <w:rFonts w:ascii="Arial" w:hAnsi="Arial" w:cs="Arial"/>
        </w:rPr>
        <w:t>be im</w:t>
      </w:r>
      <w:r w:rsidR="00114E92">
        <w:rPr>
          <w:rFonts w:ascii="Arial" w:hAnsi="Arial" w:cs="Arial"/>
        </w:rPr>
        <w:t>plementation questions</w:t>
      </w:r>
      <w:r w:rsidR="000F5F3E">
        <w:rPr>
          <w:rFonts w:ascii="Arial" w:hAnsi="Arial" w:cs="Arial"/>
        </w:rPr>
        <w:t>,</w:t>
      </w:r>
      <w:r w:rsidR="00DB5BA3">
        <w:rPr>
          <w:rFonts w:ascii="Arial" w:hAnsi="Arial" w:cs="Arial"/>
        </w:rPr>
        <w:t xml:space="preserve"> as reading a proposal is different </w:t>
      </w:r>
      <w:r w:rsidR="00D92549">
        <w:rPr>
          <w:rFonts w:ascii="Arial" w:hAnsi="Arial" w:cs="Arial"/>
        </w:rPr>
        <w:t>from</w:t>
      </w:r>
      <w:r w:rsidR="00DB5BA3">
        <w:rPr>
          <w:rFonts w:ascii="Arial" w:hAnsi="Arial" w:cs="Arial"/>
        </w:rPr>
        <w:t xml:space="preserve"> the</w:t>
      </w:r>
      <w:r w:rsidR="00867464">
        <w:rPr>
          <w:rFonts w:ascii="Arial" w:hAnsi="Arial" w:cs="Arial"/>
        </w:rPr>
        <w:t xml:space="preserve"> </w:t>
      </w:r>
      <w:r w:rsidR="003F7249">
        <w:rPr>
          <w:rFonts w:ascii="Arial" w:hAnsi="Arial" w:cs="Arial"/>
        </w:rPr>
        <w:t>knowledge</w:t>
      </w:r>
      <w:r w:rsidR="00867464">
        <w:rPr>
          <w:rFonts w:ascii="Arial" w:hAnsi="Arial" w:cs="Arial"/>
        </w:rPr>
        <w:t xml:space="preserve"> gained </w:t>
      </w:r>
      <w:r w:rsidR="00D92549">
        <w:rPr>
          <w:rFonts w:ascii="Arial" w:hAnsi="Arial" w:cs="Arial"/>
        </w:rPr>
        <w:t>by</w:t>
      </w:r>
      <w:r w:rsidR="003F7249">
        <w:rPr>
          <w:rFonts w:ascii="Arial" w:hAnsi="Arial" w:cs="Arial"/>
        </w:rPr>
        <w:t xml:space="preserve"> companies</w:t>
      </w:r>
      <w:r w:rsidR="00867464">
        <w:rPr>
          <w:rFonts w:ascii="Arial" w:hAnsi="Arial" w:cs="Arial"/>
        </w:rPr>
        <w:t xml:space="preserve"> prepar</w:t>
      </w:r>
      <w:r w:rsidR="00D92549">
        <w:rPr>
          <w:rFonts w:ascii="Arial" w:hAnsi="Arial" w:cs="Arial"/>
        </w:rPr>
        <w:t>ing</w:t>
      </w:r>
      <w:r w:rsidR="00867464">
        <w:rPr>
          <w:rFonts w:ascii="Arial" w:hAnsi="Arial" w:cs="Arial"/>
        </w:rPr>
        <w:t xml:space="preserve"> to apply its provisions</w:t>
      </w:r>
      <w:r w:rsidR="00BF66E8">
        <w:rPr>
          <w:rFonts w:ascii="Arial" w:hAnsi="Arial" w:cs="Arial"/>
        </w:rPr>
        <w:t>.</w:t>
      </w:r>
      <w:r w:rsidR="00806866">
        <w:rPr>
          <w:rFonts w:ascii="Arial" w:hAnsi="Arial" w:cs="Arial"/>
        </w:rPr>
        <w:t xml:space="preserve">  Some of the</w:t>
      </w:r>
      <w:r w:rsidR="00DB5BA3">
        <w:rPr>
          <w:rFonts w:ascii="Arial" w:hAnsi="Arial" w:cs="Arial"/>
        </w:rPr>
        <w:t xml:space="preserve"> </w:t>
      </w:r>
      <w:r w:rsidR="00806866">
        <w:rPr>
          <w:rFonts w:ascii="Arial" w:hAnsi="Arial" w:cs="Arial"/>
        </w:rPr>
        <w:t>ques</w:t>
      </w:r>
      <w:r w:rsidR="00973BF3">
        <w:rPr>
          <w:rFonts w:ascii="Arial" w:hAnsi="Arial" w:cs="Arial"/>
        </w:rPr>
        <w:t xml:space="preserve">tions </w:t>
      </w:r>
      <w:r w:rsidR="00DB5BA3">
        <w:rPr>
          <w:rFonts w:ascii="Arial" w:hAnsi="Arial" w:cs="Arial"/>
        </w:rPr>
        <w:t xml:space="preserve">regarding </w:t>
      </w:r>
      <w:r w:rsidR="00DB5BA3" w:rsidRPr="00DB5BA3">
        <w:rPr>
          <w:rFonts w:ascii="Arial" w:hAnsi="Arial" w:cs="Arial"/>
          <w:i/>
        </w:rPr>
        <w:t>Leases</w:t>
      </w:r>
      <w:r w:rsidR="00DB5BA3">
        <w:rPr>
          <w:rFonts w:ascii="Arial" w:hAnsi="Arial" w:cs="Arial"/>
        </w:rPr>
        <w:t xml:space="preserve"> </w:t>
      </w:r>
      <w:r w:rsidR="00867464">
        <w:rPr>
          <w:rFonts w:ascii="Arial" w:hAnsi="Arial" w:cs="Arial"/>
        </w:rPr>
        <w:t xml:space="preserve">have </w:t>
      </w:r>
      <w:r w:rsidR="00973BF3">
        <w:rPr>
          <w:rFonts w:ascii="Arial" w:hAnsi="Arial" w:cs="Arial"/>
        </w:rPr>
        <w:t>arise</w:t>
      </w:r>
      <w:r w:rsidR="000F5F3E">
        <w:rPr>
          <w:rFonts w:ascii="Arial" w:hAnsi="Arial" w:cs="Arial"/>
        </w:rPr>
        <w:t>n</w:t>
      </w:r>
      <w:r w:rsidR="00973BF3">
        <w:rPr>
          <w:rFonts w:ascii="Arial" w:hAnsi="Arial" w:cs="Arial"/>
        </w:rPr>
        <w:t xml:space="preserve"> from </w:t>
      </w:r>
      <w:r w:rsidR="00166B62">
        <w:rPr>
          <w:rFonts w:ascii="Arial" w:hAnsi="Arial" w:cs="Arial"/>
        </w:rPr>
        <w:t xml:space="preserve">conditions or </w:t>
      </w:r>
      <w:r w:rsidR="00973BF3">
        <w:rPr>
          <w:rFonts w:ascii="Arial" w:hAnsi="Arial" w:cs="Arial"/>
        </w:rPr>
        <w:t>factors</w:t>
      </w:r>
      <w:r w:rsidR="00806866">
        <w:rPr>
          <w:rFonts w:ascii="Arial" w:hAnsi="Arial" w:cs="Arial"/>
        </w:rPr>
        <w:t xml:space="preserve"> n</w:t>
      </w:r>
      <w:r w:rsidR="00973BF3">
        <w:rPr>
          <w:rFonts w:ascii="Arial" w:hAnsi="Arial" w:cs="Arial"/>
        </w:rPr>
        <w:t xml:space="preserve">ot </w:t>
      </w:r>
      <w:r w:rsidR="00A03452" w:rsidRPr="00166B62">
        <w:rPr>
          <w:rFonts w:ascii="Arial" w:hAnsi="Arial" w:cs="Arial"/>
        </w:rPr>
        <w:t xml:space="preserve">specifically </w:t>
      </w:r>
      <w:r w:rsidR="00973BF3">
        <w:rPr>
          <w:rFonts w:ascii="Arial" w:hAnsi="Arial" w:cs="Arial"/>
        </w:rPr>
        <w:t xml:space="preserve">considered when </w:t>
      </w:r>
      <w:r w:rsidR="00867464">
        <w:rPr>
          <w:rFonts w:ascii="Arial" w:hAnsi="Arial" w:cs="Arial"/>
        </w:rPr>
        <w:t>the</w:t>
      </w:r>
      <w:r w:rsidR="00973BF3">
        <w:rPr>
          <w:rFonts w:ascii="Arial" w:hAnsi="Arial" w:cs="Arial"/>
        </w:rPr>
        <w:t xml:space="preserve"> standard was in </w:t>
      </w:r>
      <w:r w:rsidR="000F5F3E">
        <w:rPr>
          <w:rFonts w:ascii="Arial" w:hAnsi="Arial" w:cs="Arial"/>
        </w:rPr>
        <w:t>development,</w:t>
      </w:r>
      <w:r w:rsidR="00973BF3">
        <w:rPr>
          <w:rFonts w:ascii="Arial" w:hAnsi="Arial" w:cs="Arial"/>
        </w:rPr>
        <w:t xml:space="preserve"> and some </w:t>
      </w:r>
      <w:r w:rsidR="00DB5BA3">
        <w:rPr>
          <w:rFonts w:ascii="Arial" w:hAnsi="Arial" w:cs="Arial"/>
        </w:rPr>
        <w:t xml:space="preserve">have </w:t>
      </w:r>
      <w:r w:rsidR="00973BF3">
        <w:rPr>
          <w:rFonts w:ascii="Arial" w:hAnsi="Arial" w:cs="Arial"/>
        </w:rPr>
        <w:t>arise</w:t>
      </w:r>
      <w:r w:rsidR="00DB5BA3">
        <w:rPr>
          <w:rFonts w:ascii="Arial" w:hAnsi="Arial" w:cs="Arial"/>
        </w:rPr>
        <w:t>n</w:t>
      </w:r>
      <w:r w:rsidR="00973BF3">
        <w:rPr>
          <w:rFonts w:ascii="Arial" w:hAnsi="Arial" w:cs="Arial"/>
        </w:rPr>
        <w:t xml:space="preserve"> as the cost and benefits of implementation </w:t>
      </w:r>
      <w:r w:rsidR="00BF66E8">
        <w:rPr>
          <w:rFonts w:ascii="Arial" w:hAnsi="Arial" w:cs="Arial"/>
        </w:rPr>
        <w:t xml:space="preserve">have </w:t>
      </w:r>
      <w:r w:rsidR="00973BF3">
        <w:rPr>
          <w:rFonts w:ascii="Arial" w:hAnsi="Arial" w:cs="Arial"/>
        </w:rPr>
        <w:t>come into sharper focus</w:t>
      </w:r>
      <w:r w:rsidR="00867464">
        <w:rPr>
          <w:rFonts w:ascii="Arial" w:hAnsi="Arial" w:cs="Arial"/>
        </w:rPr>
        <w:t>.</w:t>
      </w:r>
      <w:r w:rsidR="00973BF3">
        <w:rPr>
          <w:rFonts w:ascii="Arial" w:hAnsi="Arial" w:cs="Arial"/>
        </w:rPr>
        <w:t xml:space="preserve">  We appreciate the willingness of </w:t>
      </w:r>
      <w:r w:rsidR="000F5F3E">
        <w:rPr>
          <w:rFonts w:ascii="Arial" w:hAnsi="Arial" w:cs="Arial"/>
        </w:rPr>
        <w:t>t</w:t>
      </w:r>
      <w:r w:rsidR="00973BF3">
        <w:rPr>
          <w:rFonts w:ascii="Arial" w:hAnsi="Arial" w:cs="Arial"/>
        </w:rPr>
        <w:t>he Board to listen to preparers</w:t>
      </w:r>
      <w:r w:rsidR="000F5F3E">
        <w:rPr>
          <w:rFonts w:ascii="Arial" w:hAnsi="Arial" w:cs="Arial"/>
        </w:rPr>
        <w:t>’</w:t>
      </w:r>
      <w:r w:rsidR="00973BF3">
        <w:rPr>
          <w:rFonts w:ascii="Arial" w:hAnsi="Arial" w:cs="Arial"/>
        </w:rPr>
        <w:t xml:space="preserve"> </w:t>
      </w:r>
      <w:r w:rsidR="00BF66E8">
        <w:rPr>
          <w:rFonts w:ascii="Arial" w:hAnsi="Arial" w:cs="Arial"/>
        </w:rPr>
        <w:t xml:space="preserve">concerns </w:t>
      </w:r>
      <w:r w:rsidR="00973BF3">
        <w:rPr>
          <w:rFonts w:ascii="Arial" w:hAnsi="Arial" w:cs="Arial"/>
        </w:rPr>
        <w:t xml:space="preserve">as questions </w:t>
      </w:r>
      <w:r w:rsidR="00BF66E8">
        <w:rPr>
          <w:rFonts w:ascii="Arial" w:hAnsi="Arial" w:cs="Arial"/>
        </w:rPr>
        <w:t xml:space="preserve">have </w:t>
      </w:r>
      <w:r w:rsidR="00973BF3">
        <w:rPr>
          <w:rFonts w:ascii="Arial" w:hAnsi="Arial" w:cs="Arial"/>
        </w:rPr>
        <w:t>arise</w:t>
      </w:r>
      <w:r w:rsidR="00BF66E8">
        <w:rPr>
          <w:rFonts w:ascii="Arial" w:hAnsi="Arial" w:cs="Arial"/>
        </w:rPr>
        <w:t>n</w:t>
      </w:r>
      <w:r w:rsidR="00973BF3">
        <w:rPr>
          <w:rFonts w:ascii="Arial" w:hAnsi="Arial" w:cs="Arial"/>
        </w:rPr>
        <w:t xml:space="preserve"> and to take actions to </w:t>
      </w:r>
      <w:r w:rsidR="00867464">
        <w:rPr>
          <w:rFonts w:ascii="Arial" w:hAnsi="Arial" w:cs="Arial"/>
        </w:rPr>
        <w:t xml:space="preserve">listen to and </w:t>
      </w:r>
      <w:r w:rsidR="00973BF3">
        <w:rPr>
          <w:rFonts w:ascii="Arial" w:hAnsi="Arial" w:cs="Arial"/>
        </w:rPr>
        <w:t>address these concerns.</w:t>
      </w:r>
    </w:p>
    <w:p w:rsidR="001137B0" w:rsidRDefault="00973BF3">
      <w:pPr>
        <w:rPr>
          <w:rFonts w:ascii="Arial" w:hAnsi="Arial" w:cs="Arial"/>
        </w:rPr>
      </w:pPr>
      <w:r>
        <w:rPr>
          <w:rFonts w:ascii="Arial" w:hAnsi="Arial" w:cs="Arial"/>
        </w:rPr>
        <w:t xml:space="preserve">The Proposed Accounting Standards Update, </w:t>
      </w:r>
      <w:r w:rsidR="00B027A2" w:rsidRPr="00B027A2">
        <w:rPr>
          <w:rFonts w:ascii="Arial" w:hAnsi="Arial" w:cs="Arial"/>
          <w:i/>
        </w:rPr>
        <w:t>Leases (Topic 842):  Narrow-Scope Improvements for Lessors</w:t>
      </w:r>
      <w:r w:rsidR="00A01667">
        <w:rPr>
          <w:rFonts w:ascii="Arial" w:hAnsi="Arial" w:cs="Arial"/>
          <w:i/>
        </w:rPr>
        <w:t xml:space="preserve"> </w:t>
      </w:r>
      <w:r w:rsidR="00A01667">
        <w:rPr>
          <w:rFonts w:ascii="Arial" w:hAnsi="Arial" w:cs="Arial"/>
        </w:rPr>
        <w:t>(the Exposure Draft or ED)</w:t>
      </w:r>
      <w:r>
        <w:rPr>
          <w:rFonts w:ascii="Arial" w:hAnsi="Arial" w:cs="Arial"/>
        </w:rPr>
        <w:t xml:space="preserve">, </w:t>
      </w:r>
      <w:r w:rsidR="00867464">
        <w:rPr>
          <w:rFonts w:ascii="Arial" w:hAnsi="Arial" w:cs="Arial"/>
        </w:rPr>
        <w:t>responds to</w:t>
      </w:r>
      <w:r w:rsidR="00A01667">
        <w:rPr>
          <w:rFonts w:ascii="Arial" w:hAnsi="Arial" w:cs="Arial"/>
        </w:rPr>
        <w:t xml:space="preserve"> three </w:t>
      </w:r>
      <w:r w:rsidR="000864FB">
        <w:rPr>
          <w:rFonts w:ascii="Arial" w:hAnsi="Arial" w:cs="Arial"/>
        </w:rPr>
        <w:t>post</w:t>
      </w:r>
      <w:r w:rsidR="000F5F3E">
        <w:rPr>
          <w:rFonts w:ascii="Arial" w:hAnsi="Arial" w:cs="Arial"/>
        </w:rPr>
        <w:t>-</w:t>
      </w:r>
      <w:r w:rsidR="000864FB">
        <w:rPr>
          <w:rFonts w:ascii="Arial" w:hAnsi="Arial" w:cs="Arial"/>
        </w:rPr>
        <w:t xml:space="preserve">issuance </w:t>
      </w:r>
      <w:r w:rsidR="00A01667">
        <w:rPr>
          <w:rFonts w:ascii="Arial" w:hAnsi="Arial" w:cs="Arial"/>
        </w:rPr>
        <w:t>questions</w:t>
      </w:r>
      <w:r w:rsidR="00BF66E8">
        <w:rPr>
          <w:rFonts w:ascii="Arial" w:hAnsi="Arial" w:cs="Arial"/>
        </w:rPr>
        <w:t>:  t</w:t>
      </w:r>
      <w:r w:rsidR="004101C1">
        <w:rPr>
          <w:rFonts w:ascii="Arial" w:hAnsi="Arial" w:cs="Arial"/>
        </w:rPr>
        <w:t xml:space="preserve">he accounting </w:t>
      </w:r>
      <w:r w:rsidR="00492CD8">
        <w:rPr>
          <w:rFonts w:ascii="Arial" w:hAnsi="Arial" w:cs="Arial"/>
        </w:rPr>
        <w:t xml:space="preserve">for </w:t>
      </w:r>
      <w:r w:rsidR="00983AC5">
        <w:rPr>
          <w:rFonts w:ascii="Arial" w:hAnsi="Arial" w:cs="Arial"/>
        </w:rPr>
        <w:t>s</w:t>
      </w:r>
      <w:r w:rsidR="00B027A2" w:rsidRPr="00B027A2">
        <w:rPr>
          <w:rFonts w:ascii="Arial" w:hAnsi="Arial" w:cs="Arial"/>
        </w:rPr>
        <w:t>ales</w:t>
      </w:r>
      <w:r w:rsidR="00DA2EE4">
        <w:rPr>
          <w:rFonts w:ascii="Arial" w:hAnsi="Arial" w:cs="Arial"/>
        </w:rPr>
        <w:t>, use</w:t>
      </w:r>
      <w:r w:rsidR="00B027A2" w:rsidRPr="00B027A2">
        <w:rPr>
          <w:rFonts w:ascii="Arial" w:hAnsi="Arial" w:cs="Arial"/>
        </w:rPr>
        <w:t xml:space="preserve"> and similar taxes</w:t>
      </w:r>
      <w:r w:rsidR="00983AC5">
        <w:rPr>
          <w:rFonts w:ascii="Arial" w:hAnsi="Arial" w:cs="Arial"/>
        </w:rPr>
        <w:t xml:space="preserve">; </w:t>
      </w:r>
      <w:r w:rsidR="00BF66E8">
        <w:rPr>
          <w:rFonts w:ascii="Arial" w:hAnsi="Arial" w:cs="Arial"/>
        </w:rPr>
        <w:t xml:space="preserve">the accounting for </w:t>
      </w:r>
      <w:r w:rsidR="00983AC5">
        <w:rPr>
          <w:rFonts w:ascii="Arial" w:hAnsi="Arial" w:cs="Arial"/>
        </w:rPr>
        <w:t>o</w:t>
      </w:r>
      <w:r w:rsidR="00B027A2" w:rsidRPr="00B027A2">
        <w:rPr>
          <w:rFonts w:ascii="Arial" w:hAnsi="Arial" w:cs="Arial"/>
        </w:rPr>
        <w:t xml:space="preserve">ther costs paid </w:t>
      </w:r>
      <w:r w:rsidR="00B027A2" w:rsidRPr="00B027A2">
        <w:rPr>
          <w:rFonts w:ascii="Arial" w:hAnsi="Arial" w:cs="Arial"/>
        </w:rPr>
        <w:lastRenderedPageBreak/>
        <w:t>by a lessee that may benefit a lessor; and</w:t>
      </w:r>
      <w:r w:rsidR="00983AC5">
        <w:rPr>
          <w:rFonts w:ascii="Arial" w:hAnsi="Arial" w:cs="Arial"/>
        </w:rPr>
        <w:t xml:space="preserve"> </w:t>
      </w:r>
      <w:r w:rsidR="00B027A2" w:rsidRPr="00B027A2">
        <w:rPr>
          <w:rFonts w:ascii="Arial" w:hAnsi="Arial" w:cs="Arial"/>
        </w:rPr>
        <w:t>variable payments when contracts have lease and non</w:t>
      </w:r>
      <w:r w:rsidR="000F5F3E">
        <w:rPr>
          <w:rFonts w:ascii="Arial" w:hAnsi="Arial" w:cs="Arial"/>
        </w:rPr>
        <w:t>-</w:t>
      </w:r>
      <w:r w:rsidR="00B027A2" w:rsidRPr="00B027A2">
        <w:rPr>
          <w:rFonts w:ascii="Arial" w:hAnsi="Arial" w:cs="Arial"/>
        </w:rPr>
        <w:t>lease components.</w:t>
      </w:r>
    </w:p>
    <w:p w:rsidR="00DA2EE4" w:rsidRDefault="00331E06" w:rsidP="00DA2EE4">
      <w:pPr>
        <w:rPr>
          <w:rFonts w:ascii="Arial" w:hAnsi="Arial" w:cs="Arial"/>
        </w:rPr>
      </w:pPr>
      <w:r>
        <w:rPr>
          <w:rFonts w:ascii="Arial" w:hAnsi="Arial" w:cs="Arial"/>
        </w:rPr>
        <w:t>With regards to these proposals, we believe</w:t>
      </w:r>
      <w:r w:rsidR="00DA2EE4">
        <w:rPr>
          <w:rFonts w:ascii="Arial" w:hAnsi="Arial" w:cs="Arial"/>
        </w:rPr>
        <w:t xml:space="preserve"> the approach </w:t>
      </w:r>
      <w:r w:rsidR="00DB5BA3">
        <w:rPr>
          <w:rFonts w:ascii="Arial" w:hAnsi="Arial" w:cs="Arial"/>
        </w:rPr>
        <w:t xml:space="preserve">to </w:t>
      </w:r>
      <w:r w:rsidR="00DA2EE4">
        <w:rPr>
          <w:rFonts w:ascii="Arial" w:hAnsi="Arial" w:cs="Arial"/>
        </w:rPr>
        <w:t xml:space="preserve">the first and third </w:t>
      </w:r>
      <w:r w:rsidR="00492CD8">
        <w:rPr>
          <w:rFonts w:ascii="Arial" w:hAnsi="Arial" w:cs="Arial"/>
        </w:rPr>
        <w:t xml:space="preserve">matters </w:t>
      </w:r>
      <w:r w:rsidR="00DA2EE4">
        <w:rPr>
          <w:rFonts w:ascii="Arial" w:hAnsi="Arial" w:cs="Arial"/>
        </w:rPr>
        <w:t xml:space="preserve">are reasonable and operational.  We do, however, have </w:t>
      </w:r>
      <w:proofErr w:type="gramStart"/>
      <w:r w:rsidR="00DA2EE4">
        <w:rPr>
          <w:rFonts w:ascii="Arial" w:hAnsi="Arial" w:cs="Arial"/>
        </w:rPr>
        <w:t>a number of</w:t>
      </w:r>
      <w:proofErr w:type="gramEnd"/>
      <w:r w:rsidR="00DA2EE4">
        <w:rPr>
          <w:rFonts w:ascii="Arial" w:hAnsi="Arial" w:cs="Arial"/>
        </w:rPr>
        <w:t xml:space="preserve"> concerns with regards to the approach </w:t>
      </w:r>
      <w:r w:rsidR="00BF66E8">
        <w:rPr>
          <w:rFonts w:ascii="Arial" w:hAnsi="Arial" w:cs="Arial"/>
        </w:rPr>
        <w:t>to</w:t>
      </w:r>
      <w:r w:rsidR="00DA2EE4">
        <w:rPr>
          <w:rFonts w:ascii="Arial" w:hAnsi="Arial" w:cs="Arial"/>
        </w:rPr>
        <w:t xml:space="preserve"> lessee</w:t>
      </w:r>
      <w:r w:rsidR="000F5F3E">
        <w:rPr>
          <w:rFonts w:ascii="Arial" w:hAnsi="Arial" w:cs="Arial"/>
        </w:rPr>
        <w:t>-</w:t>
      </w:r>
      <w:r w:rsidR="00DA2EE4">
        <w:rPr>
          <w:rFonts w:ascii="Arial" w:hAnsi="Arial" w:cs="Arial"/>
        </w:rPr>
        <w:t>paid costs other than sales and use taxes</w:t>
      </w:r>
      <w:r w:rsidR="00DF7259">
        <w:rPr>
          <w:rFonts w:ascii="Arial" w:hAnsi="Arial" w:cs="Arial"/>
        </w:rPr>
        <w:t>.  The proposal significantly reduces the burden on lessors for insurance costs, but the application of the approach</w:t>
      </w:r>
      <w:r w:rsidR="00DB5BA3">
        <w:rPr>
          <w:rFonts w:ascii="Arial" w:hAnsi="Arial" w:cs="Arial"/>
        </w:rPr>
        <w:t xml:space="preserve"> articulated in the E</w:t>
      </w:r>
      <w:r w:rsidR="000F5F3E">
        <w:rPr>
          <w:rFonts w:ascii="Arial" w:hAnsi="Arial" w:cs="Arial"/>
        </w:rPr>
        <w:t>D</w:t>
      </w:r>
      <w:r w:rsidR="00DF7259">
        <w:rPr>
          <w:rFonts w:ascii="Arial" w:hAnsi="Arial" w:cs="Arial"/>
        </w:rPr>
        <w:t xml:space="preserve"> to other taxes</w:t>
      </w:r>
      <w:r w:rsidR="00BF66E8">
        <w:rPr>
          <w:rFonts w:ascii="Arial" w:hAnsi="Arial" w:cs="Arial"/>
        </w:rPr>
        <w:t>,</w:t>
      </w:r>
      <w:r w:rsidR="00DF7259">
        <w:rPr>
          <w:rFonts w:ascii="Arial" w:hAnsi="Arial" w:cs="Arial"/>
        </w:rPr>
        <w:t xml:space="preserve"> such as property taxes</w:t>
      </w:r>
      <w:r w:rsidR="00BF66E8">
        <w:rPr>
          <w:rFonts w:ascii="Arial" w:hAnsi="Arial" w:cs="Arial"/>
        </w:rPr>
        <w:t>,</w:t>
      </w:r>
      <w:r w:rsidR="00DF7259">
        <w:rPr>
          <w:rFonts w:ascii="Arial" w:hAnsi="Arial" w:cs="Arial"/>
        </w:rPr>
        <w:t xml:space="preserve"> does not provide meaningful relief</w:t>
      </w:r>
      <w:r w:rsidR="001227F3">
        <w:rPr>
          <w:rFonts w:ascii="Arial" w:hAnsi="Arial" w:cs="Arial"/>
        </w:rPr>
        <w:t xml:space="preserve"> </w:t>
      </w:r>
      <w:r w:rsidR="00DB5BA3">
        <w:rPr>
          <w:rFonts w:ascii="Arial" w:hAnsi="Arial" w:cs="Arial"/>
        </w:rPr>
        <w:t xml:space="preserve">in many circumstances </w:t>
      </w:r>
      <w:r w:rsidR="001227F3">
        <w:rPr>
          <w:rFonts w:ascii="Arial" w:hAnsi="Arial" w:cs="Arial"/>
        </w:rPr>
        <w:t>and does not answer several fundamental questions</w:t>
      </w:r>
      <w:r w:rsidR="00DB5BA3">
        <w:rPr>
          <w:rFonts w:ascii="Arial" w:hAnsi="Arial" w:cs="Arial"/>
        </w:rPr>
        <w:t xml:space="preserve"> about the nature of these costs</w:t>
      </w:r>
      <w:r w:rsidR="001C3B48">
        <w:rPr>
          <w:rFonts w:ascii="Arial" w:hAnsi="Arial" w:cs="Arial"/>
        </w:rPr>
        <w:t xml:space="preserve"> and whether the inclusion of these items in a lessor</w:t>
      </w:r>
      <w:r w:rsidR="000F5F3E">
        <w:rPr>
          <w:rFonts w:ascii="Arial" w:hAnsi="Arial" w:cs="Arial"/>
        </w:rPr>
        <w:t>’</w:t>
      </w:r>
      <w:r w:rsidR="001C3B48">
        <w:rPr>
          <w:rFonts w:ascii="Arial" w:hAnsi="Arial" w:cs="Arial"/>
        </w:rPr>
        <w:t>s financial statements is meaningful</w:t>
      </w:r>
      <w:r w:rsidR="00DF7259">
        <w:rPr>
          <w:rFonts w:ascii="Arial" w:hAnsi="Arial" w:cs="Arial"/>
        </w:rPr>
        <w:t>.</w:t>
      </w:r>
      <w:r w:rsidR="00D92549">
        <w:rPr>
          <w:rFonts w:ascii="Arial" w:hAnsi="Arial" w:cs="Arial"/>
        </w:rPr>
        <w:t xml:space="preserve">  We believe this matter should be approached in a manner </w:t>
      </w:r>
      <w:proofErr w:type="gramStart"/>
      <w:r w:rsidR="00D92549">
        <w:rPr>
          <w:rFonts w:ascii="Arial" w:hAnsi="Arial" w:cs="Arial"/>
        </w:rPr>
        <w:t xml:space="preserve">similar </w:t>
      </w:r>
      <w:r w:rsidR="000F5F3E">
        <w:rPr>
          <w:rFonts w:ascii="Arial" w:hAnsi="Arial" w:cs="Arial"/>
        </w:rPr>
        <w:t>to</w:t>
      </w:r>
      <w:proofErr w:type="gramEnd"/>
      <w:r w:rsidR="000F5F3E">
        <w:rPr>
          <w:rFonts w:ascii="Arial" w:hAnsi="Arial" w:cs="Arial"/>
        </w:rPr>
        <w:t xml:space="preserve"> </w:t>
      </w:r>
      <w:r w:rsidR="00D92549">
        <w:rPr>
          <w:rFonts w:ascii="Arial" w:hAnsi="Arial" w:cs="Arial"/>
        </w:rPr>
        <w:t>that employed to resolve the first question, and lessors should have the ability to make an election as to the accounting for these costs.</w:t>
      </w:r>
    </w:p>
    <w:p w:rsidR="00492CD8" w:rsidRPr="00492CD8" w:rsidRDefault="00492CD8" w:rsidP="00DA2EE4">
      <w:pPr>
        <w:rPr>
          <w:rFonts w:ascii="Arial" w:hAnsi="Arial" w:cs="Arial"/>
          <w:u w:val="single"/>
        </w:rPr>
      </w:pPr>
      <w:r>
        <w:rPr>
          <w:rFonts w:ascii="Arial" w:hAnsi="Arial" w:cs="Arial"/>
          <w:u w:val="single"/>
        </w:rPr>
        <w:t>Costs Paid by the Lessee</w:t>
      </w:r>
    </w:p>
    <w:p w:rsidR="00CB3418" w:rsidRDefault="00CB3418" w:rsidP="00681891">
      <w:pPr>
        <w:rPr>
          <w:rFonts w:ascii="Arial" w:hAnsi="Arial" w:cs="Arial"/>
        </w:rPr>
      </w:pPr>
      <w:r>
        <w:rPr>
          <w:rFonts w:ascii="Arial" w:hAnsi="Arial" w:cs="Arial"/>
        </w:rPr>
        <w:t xml:space="preserve">The </w:t>
      </w:r>
      <w:r w:rsidR="00D92549">
        <w:rPr>
          <w:rFonts w:ascii="Arial" w:hAnsi="Arial" w:cs="Arial"/>
        </w:rPr>
        <w:t xml:space="preserve">model presented in the </w:t>
      </w:r>
      <w:r>
        <w:rPr>
          <w:rFonts w:ascii="Arial" w:hAnsi="Arial" w:cs="Arial"/>
        </w:rPr>
        <w:t>ED would require lessors to not report certain costs paid directly by the lessee when these amounts are not readily determinable.  It would also make explicit the requirement that lessor</w:t>
      </w:r>
      <w:r w:rsidR="000F5F3E">
        <w:rPr>
          <w:rFonts w:ascii="Arial" w:hAnsi="Arial" w:cs="Arial"/>
        </w:rPr>
        <w:t>-</w:t>
      </w:r>
      <w:r>
        <w:rPr>
          <w:rFonts w:ascii="Arial" w:hAnsi="Arial" w:cs="Arial"/>
        </w:rPr>
        <w:t>paid costs</w:t>
      </w:r>
      <w:r w:rsidR="00492CD8">
        <w:rPr>
          <w:rFonts w:ascii="Arial" w:hAnsi="Arial" w:cs="Arial"/>
        </w:rPr>
        <w:t xml:space="preserve"> reimbursed by a lessee</w:t>
      </w:r>
      <w:r>
        <w:rPr>
          <w:rFonts w:ascii="Arial" w:hAnsi="Arial" w:cs="Arial"/>
        </w:rPr>
        <w:t xml:space="preserve"> are determinable and should be reported by the lessor on a gross basis.  Basing the accounting on these approaches would not relieve the lessor from the burden of evaluating the nature of these charges, especially if the costs are those that are paid directly by the lessor, and, in the case of lessee</w:t>
      </w:r>
      <w:r w:rsidR="000F5F3E">
        <w:rPr>
          <w:rFonts w:ascii="Arial" w:hAnsi="Arial" w:cs="Arial"/>
        </w:rPr>
        <w:t>-</w:t>
      </w:r>
      <w:r>
        <w:rPr>
          <w:rFonts w:ascii="Arial" w:hAnsi="Arial" w:cs="Arial"/>
        </w:rPr>
        <w:t xml:space="preserve">paid costs, would leave open the question of what determinable means and how much effort should be expended to </w:t>
      </w:r>
      <w:r w:rsidR="00492CD8">
        <w:rPr>
          <w:rFonts w:ascii="Arial" w:hAnsi="Arial" w:cs="Arial"/>
        </w:rPr>
        <w:t>establish</w:t>
      </w:r>
      <w:r>
        <w:rPr>
          <w:rFonts w:ascii="Arial" w:hAnsi="Arial" w:cs="Arial"/>
        </w:rPr>
        <w:t xml:space="preserve"> if they are determinable.  In the case of lessee</w:t>
      </w:r>
      <w:r w:rsidR="000F5F3E">
        <w:rPr>
          <w:rFonts w:ascii="Arial" w:hAnsi="Arial" w:cs="Arial"/>
        </w:rPr>
        <w:t>-</w:t>
      </w:r>
      <w:r>
        <w:rPr>
          <w:rFonts w:ascii="Arial" w:hAnsi="Arial" w:cs="Arial"/>
        </w:rPr>
        <w:t xml:space="preserve">paid costs, it is possible that lessors would have to prove to their auditors that costs are not determinable by any number of means, including detailed review of local tax </w:t>
      </w:r>
      <w:r w:rsidR="008C684F">
        <w:rPr>
          <w:rFonts w:ascii="Arial" w:hAnsi="Arial" w:cs="Arial"/>
        </w:rPr>
        <w:t>databases</w:t>
      </w:r>
      <w:r w:rsidR="00A03452">
        <w:rPr>
          <w:rFonts w:ascii="Arial" w:hAnsi="Arial" w:cs="Arial"/>
        </w:rPr>
        <w:t xml:space="preserve"> </w:t>
      </w:r>
      <w:r w:rsidR="00A03452" w:rsidRPr="00F332F1">
        <w:rPr>
          <w:rFonts w:ascii="Arial" w:hAnsi="Arial" w:cs="Arial"/>
        </w:rPr>
        <w:t xml:space="preserve">or sending out written requests for lease </w:t>
      </w:r>
      <w:r w:rsidR="000F5F3E">
        <w:rPr>
          <w:rFonts w:ascii="Arial" w:hAnsi="Arial" w:cs="Arial"/>
        </w:rPr>
        <w:t>-s</w:t>
      </w:r>
      <w:r w:rsidR="00A03452" w:rsidRPr="00F332F1">
        <w:rPr>
          <w:rFonts w:ascii="Arial" w:hAnsi="Arial" w:cs="Arial"/>
        </w:rPr>
        <w:t>pecific information</w:t>
      </w:r>
      <w:r>
        <w:rPr>
          <w:rFonts w:ascii="Arial" w:hAnsi="Arial" w:cs="Arial"/>
        </w:rPr>
        <w:t>.  This may undermine the expected benefit of this approach.  The determinable standard will probably suffice for lessee</w:t>
      </w:r>
      <w:r w:rsidR="000F5F3E">
        <w:rPr>
          <w:rFonts w:ascii="Arial" w:hAnsi="Arial" w:cs="Arial"/>
        </w:rPr>
        <w:t>-</w:t>
      </w:r>
      <w:r>
        <w:rPr>
          <w:rFonts w:ascii="Arial" w:hAnsi="Arial" w:cs="Arial"/>
        </w:rPr>
        <w:t>paid insurance</w:t>
      </w:r>
      <w:r w:rsidR="00A03452" w:rsidRPr="00A03452">
        <w:rPr>
          <w:rFonts w:ascii="Arial" w:hAnsi="Arial" w:cs="Arial"/>
          <w:color w:val="0070C0"/>
        </w:rPr>
        <w:t>,</w:t>
      </w:r>
      <w:r w:rsidRPr="00A03452">
        <w:rPr>
          <w:rFonts w:ascii="Arial" w:hAnsi="Arial" w:cs="Arial"/>
          <w:color w:val="0070C0"/>
        </w:rPr>
        <w:t xml:space="preserve"> </w:t>
      </w:r>
      <w:r>
        <w:rPr>
          <w:rFonts w:ascii="Arial" w:hAnsi="Arial" w:cs="Arial"/>
        </w:rPr>
        <w:t xml:space="preserve">but it may not be </w:t>
      </w:r>
      <w:proofErr w:type="gramStart"/>
      <w:r>
        <w:rPr>
          <w:rFonts w:ascii="Arial" w:hAnsi="Arial" w:cs="Arial"/>
        </w:rPr>
        <w:t>sufficient</w:t>
      </w:r>
      <w:proofErr w:type="gramEnd"/>
      <w:r>
        <w:rPr>
          <w:rFonts w:ascii="Arial" w:hAnsi="Arial" w:cs="Arial"/>
        </w:rPr>
        <w:t xml:space="preserve"> for other items. </w:t>
      </w:r>
    </w:p>
    <w:p w:rsidR="00580D44" w:rsidRDefault="00AA67BF" w:rsidP="00681891">
      <w:pPr>
        <w:rPr>
          <w:rFonts w:ascii="Arial" w:hAnsi="Arial" w:cs="Arial"/>
        </w:rPr>
      </w:pPr>
      <w:r>
        <w:rPr>
          <w:rFonts w:ascii="Arial" w:hAnsi="Arial" w:cs="Arial"/>
        </w:rPr>
        <w:t>T</w:t>
      </w:r>
      <w:r w:rsidR="00580D44">
        <w:rPr>
          <w:rFonts w:ascii="Arial" w:hAnsi="Arial" w:cs="Arial"/>
        </w:rPr>
        <w:t xml:space="preserve">he proposal </w:t>
      </w:r>
      <w:r w:rsidR="0048067E">
        <w:rPr>
          <w:rFonts w:ascii="Arial" w:hAnsi="Arial" w:cs="Arial"/>
        </w:rPr>
        <w:t xml:space="preserve">for lessee costs </w:t>
      </w:r>
      <w:r w:rsidR="00580D44">
        <w:rPr>
          <w:rFonts w:ascii="Arial" w:hAnsi="Arial" w:cs="Arial"/>
        </w:rPr>
        <w:t>in the ED is premised on</w:t>
      </w:r>
      <w:r w:rsidR="0053227C">
        <w:rPr>
          <w:rFonts w:ascii="Arial" w:hAnsi="Arial" w:cs="Arial"/>
        </w:rPr>
        <w:t xml:space="preserve"> the view that the costs most often included in this category (insurance and property taxes) are costs the lessor </w:t>
      </w:r>
      <w:r w:rsidR="001C3B48">
        <w:rPr>
          <w:rFonts w:ascii="Arial" w:hAnsi="Arial" w:cs="Arial"/>
        </w:rPr>
        <w:t xml:space="preserve">either </w:t>
      </w:r>
      <w:r w:rsidR="0053227C">
        <w:rPr>
          <w:rFonts w:ascii="Arial" w:hAnsi="Arial" w:cs="Arial"/>
        </w:rPr>
        <w:t xml:space="preserve">incurs as the owner of the underlying asset or </w:t>
      </w:r>
      <w:r w:rsidR="00580D44">
        <w:rPr>
          <w:rFonts w:ascii="Arial" w:hAnsi="Arial" w:cs="Arial"/>
        </w:rPr>
        <w:t xml:space="preserve">in </w:t>
      </w:r>
      <w:r w:rsidR="000F5F3E">
        <w:rPr>
          <w:rFonts w:ascii="Arial" w:hAnsi="Arial" w:cs="Arial"/>
        </w:rPr>
        <w:t xml:space="preserve">its </w:t>
      </w:r>
      <w:r w:rsidR="00580D44">
        <w:rPr>
          <w:rFonts w:ascii="Arial" w:hAnsi="Arial" w:cs="Arial"/>
        </w:rPr>
        <w:t>role</w:t>
      </w:r>
      <w:r w:rsidR="002F562F">
        <w:rPr>
          <w:rFonts w:ascii="Arial" w:hAnsi="Arial" w:cs="Arial"/>
        </w:rPr>
        <w:t xml:space="preserve"> </w:t>
      </w:r>
      <w:r w:rsidR="001C3B48">
        <w:rPr>
          <w:rFonts w:ascii="Arial" w:hAnsi="Arial" w:cs="Arial"/>
        </w:rPr>
        <w:t xml:space="preserve">as </w:t>
      </w:r>
      <w:r w:rsidR="0053227C">
        <w:rPr>
          <w:rFonts w:ascii="Arial" w:hAnsi="Arial" w:cs="Arial"/>
        </w:rPr>
        <w:t xml:space="preserve">lessor.  </w:t>
      </w:r>
      <w:r w:rsidR="002F562F">
        <w:rPr>
          <w:rFonts w:ascii="Arial" w:hAnsi="Arial" w:cs="Arial"/>
        </w:rPr>
        <w:t xml:space="preserve">We do not believe these costs are </w:t>
      </w:r>
      <w:r w:rsidR="00131748" w:rsidRPr="00F332F1">
        <w:rPr>
          <w:rFonts w:ascii="Arial" w:hAnsi="Arial" w:cs="Arial"/>
        </w:rPr>
        <w:t xml:space="preserve">necessarily </w:t>
      </w:r>
      <w:r w:rsidR="002F562F">
        <w:rPr>
          <w:rFonts w:ascii="Arial" w:hAnsi="Arial" w:cs="Arial"/>
        </w:rPr>
        <w:t>costs of the lessor</w:t>
      </w:r>
      <w:r w:rsidR="00061807">
        <w:rPr>
          <w:rFonts w:ascii="Arial" w:hAnsi="Arial" w:cs="Arial"/>
        </w:rPr>
        <w:t xml:space="preserve"> </w:t>
      </w:r>
      <w:r w:rsidR="001C3B48">
        <w:rPr>
          <w:rFonts w:ascii="Arial" w:hAnsi="Arial" w:cs="Arial"/>
        </w:rPr>
        <w:t xml:space="preserve">or incurred in </w:t>
      </w:r>
      <w:r w:rsidR="000F5F3E">
        <w:rPr>
          <w:rFonts w:ascii="Arial" w:hAnsi="Arial" w:cs="Arial"/>
        </w:rPr>
        <w:t xml:space="preserve">its </w:t>
      </w:r>
      <w:r w:rsidR="001C3B48">
        <w:rPr>
          <w:rFonts w:ascii="Arial" w:hAnsi="Arial" w:cs="Arial"/>
        </w:rPr>
        <w:t xml:space="preserve">role as lessor </w:t>
      </w:r>
      <w:r w:rsidR="00061807">
        <w:rPr>
          <w:rFonts w:ascii="Arial" w:hAnsi="Arial" w:cs="Arial"/>
        </w:rPr>
        <w:t>when we consider the assets our members lease</w:t>
      </w:r>
      <w:r w:rsidR="002F562F">
        <w:rPr>
          <w:rFonts w:ascii="Arial" w:hAnsi="Arial" w:cs="Arial"/>
        </w:rPr>
        <w:t>.  In the case of insurance, whether the insurance exists to insure the underlying asset or whether it insures the lessee’s obligation in the event of a casualty loss is a reasonable question to ask</w:t>
      </w:r>
      <w:r w:rsidR="0048067E">
        <w:rPr>
          <w:rFonts w:ascii="Arial" w:hAnsi="Arial" w:cs="Arial"/>
        </w:rPr>
        <w:t xml:space="preserve"> and indicates to us that there is a valid alternative view of the nature of these costs</w:t>
      </w:r>
      <w:r w:rsidR="002F562F">
        <w:rPr>
          <w:rFonts w:ascii="Arial" w:hAnsi="Arial" w:cs="Arial"/>
        </w:rPr>
        <w:t xml:space="preserve">.  </w:t>
      </w:r>
    </w:p>
    <w:p w:rsidR="00025226" w:rsidRPr="00F332F1" w:rsidRDefault="00025226" w:rsidP="00681891">
      <w:pPr>
        <w:rPr>
          <w:rFonts w:ascii="Arial" w:hAnsi="Arial" w:cs="Arial"/>
          <w:u w:val="single"/>
        </w:rPr>
      </w:pPr>
      <w:r w:rsidRPr="00F332F1">
        <w:rPr>
          <w:rFonts w:ascii="Arial" w:hAnsi="Arial" w:cs="Arial"/>
          <w:u w:val="single"/>
        </w:rPr>
        <w:t>Personal Property Taxes</w:t>
      </w:r>
    </w:p>
    <w:p w:rsidR="00362F0A" w:rsidRDefault="00580D44" w:rsidP="0035627E">
      <w:pPr>
        <w:rPr>
          <w:rFonts w:ascii="Arial" w:hAnsi="Arial"/>
          <w:color w:val="222222"/>
          <w:szCs w:val="21"/>
          <w:shd w:val="clear" w:color="auto" w:fill="FFFFFF"/>
        </w:rPr>
      </w:pPr>
      <w:r>
        <w:rPr>
          <w:rFonts w:ascii="Arial" w:hAnsi="Arial" w:cs="Arial"/>
        </w:rPr>
        <w:t>Whether p</w:t>
      </w:r>
      <w:r w:rsidR="002F562F">
        <w:rPr>
          <w:rFonts w:ascii="Arial" w:hAnsi="Arial" w:cs="Arial"/>
        </w:rPr>
        <w:t>ropert</w:t>
      </w:r>
      <w:r>
        <w:rPr>
          <w:rFonts w:ascii="Arial" w:hAnsi="Arial" w:cs="Arial"/>
        </w:rPr>
        <w:t>y taxes are the lessor</w:t>
      </w:r>
      <w:r w:rsidR="0048067E">
        <w:rPr>
          <w:rFonts w:ascii="Arial" w:hAnsi="Arial" w:cs="Arial"/>
        </w:rPr>
        <w:t>’</w:t>
      </w:r>
      <w:r>
        <w:rPr>
          <w:rFonts w:ascii="Arial" w:hAnsi="Arial" w:cs="Arial"/>
        </w:rPr>
        <w:t xml:space="preserve">s cost or not </w:t>
      </w:r>
      <w:r w:rsidR="00362F0A">
        <w:rPr>
          <w:rFonts w:ascii="Arial" w:hAnsi="Arial" w:cs="Arial"/>
        </w:rPr>
        <w:t xml:space="preserve">is ambiguous </w:t>
      </w:r>
      <w:r w:rsidR="0048067E">
        <w:rPr>
          <w:rFonts w:ascii="Arial" w:hAnsi="Arial" w:cs="Arial"/>
        </w:rPr>
        <w:t>in the case of leases</w:t>
      </w:r>
      <w:r w:rsidR="00461042">
        <w:rPr>
          <w:rFonts w:ascii="Arial" w:hAnsi="Arial" w:cs="Arial"/>
        </w:rPr>
        <w:t xml:space="preserve"> of personal </w:t>
      </w:r>
      <w:r w:rsidR="00461042" w:rsidRPr="00BD6832">
        <w:rPr>
          <w:rFonts w:ascii="Arial" w:hAnsi="Arial" w:cs="Arial"/>
        </w:rPr>
        <w:t>property (equipment)</w:t>
      </w:r>
      <w:r w:rsidR="002F562F" w:rsidRPr="00BD6832">
        <w:rPr>
          <w:rFonts w:ascii="Arial" w:hAnsi="Arial" w:cs="Arial"/>
        </w:rPr>
        <w:t>.</w:t>
      </w:r>
      <w:r w:rsidR="002F562F">
        <w:rPr>
          <w:rFonts w:ascii="Arial" w:hAnsi="Arial" w:cs="Arial"/>
        </w:rPr>
        <w:t xml:space="preserve">  </w:t>
      </w:r>
      <w:r w:rsidR="00AA67BF">
        <w:rPr>
          <w:rFonts w:ascii="Arial" w:hAnsi="Arial" w:cs="Arial"/>
        </w:rPr>
        <w:t xml:space="preserve">If there is a property tax obligation </w:t>
      </w:r>
      <w:r w:rsidR="0048067E">
        <w:rPr>
          <w:rFonts w:ascii="Arial" w:hAnsi="Arial" w:cs="Arial"/>
        </w:rPr>
        <w:t xml:space="preserve">related to the </w:t>
      </w:r>
      <w:r w:rsidR="001101EF" w:rsidRPr="00BD6832">
        <w:rPr>
          <w:rFonts w:ascii="Arial" w:hAnsi="Arial" w:cs="Arial"/>
        </w:rPr>
        <w:t xml:space="preserve">underlying </w:t>
      </w:r>
      <w:r w:rsidR="00F332F1" w:rsidRPr="00BD6832">
        <w:rPr>
          <w:rFonts w:ascii="Arial" w:hAnsi="Arial" w:cs="Arial"/>
        </w:rPr>
        <w:t>asset</w:t>
      </w:r>
      <w:r w:rsidR="000F5F3E">
        <w:rPr>
          <w:rFonts w:ascii="Arial" w:hAnsi="Arial" w:cs="Arial"/>
        </w:rPr>
        <w:t>,</w:t>
      </w:r>
      <w:r w:rsidR="00F332F1" w:rsidRPr="00BD6832">
        <w:rPr>
          <w:rFonts w:ascii="Arial" w:hAnsi="Arial" w:cs="Arial"/>
        </w:rPr>
        <w:t xml:space="preserve"> </w:t>
      </w:r>
      <w:r w:rsidR="00AA67BF" w:rsidRPr="00BD6832">
        <w:rPr>
          <w:rFonts w:ascii="Arial" w:hAnsi="Arial" w:cs="Arial"/>
        </w:rPr>
        <w:t xml:space="preserve">it arises because of the </w:t>
      </w:r>
      <w:r w:rsidR="0048067E" w:rsidRPr="00BD6832">
        <w:rPr>
          <w:rFonts w:ascii="Arial" w:hAnsi="Arial" w:cs="Arial"/>
        </w:rPr>
        <w:t xml:space="preserve">location </w:t>
      </w:r>
      <w:r w:rsidR="00AA67BF" w:rsidRPr="00BD6832">
        <w:rPr>
          <w:rFonts w:ascii="Arial" w:hAnsi="Arial" w:cs="Arial"/>
        </w:rPr>
        <w:t>where the lessee chooses to use the asset</w:t>
      </w:r>
      <w:r w:rsidR="00F255AD" w:rsidRPr="00BD6832">
        <w:rPr>
          <w:rFonts w:ascii="Arial" w:hAnsi="Arial" w:cs="Arial"/>
        </w:rPr>
        <w:t xml:space="preserve">.  </w:t>
      </w:r>
      <w:r w:rsidR="00461042" w:rsidRPr="00BD6832">
        <w:rPr>
          <w:rFonts w:ascii="Arial" w:hAnsi="Arial" w:cs="Arial"/>
        </w:rPr>
        <w:t>Further, t</w:t>
      </w:r>
      <w:r w:rsidR="001101EF" w:rsidRPr="00BD6832">
        <w:rPr>
          <w:rFonts w:ascii="Arial" w:hAnsi="Arial" w:cs="Arial"/>
        </w:rPr>
        <w:t xml:space="preserve">he property tax cost </w:t>
      </w:r>
      <w:r w:rsidR="00F255AD" w:rsidRPr="00BD6832">
        <w:rPr>
          <w:rFonts w:ascii="Arial" w:hAnsi="Arial" w:cs="Arial"/>
        </w:rPr>
        <w:t xml:space="preserve">may change </w:t>
      </w:r>
      <w:r w:rsidR="00EB7F3E" w:rsidRPr="00BD6832">
        <w:rPr>
          <w:rFonts w:ascii="Arial" w:hAnsi="Arial" w:cs="Arial"/>
        </w:rPr>
        <w:t xml:space="preserve">solely on the basis of </w:t>
      </w:r>
      <w:r w:rsidR="0048067E" w:rsidRPr="00BD6832">
        <w:rPr>
          <w:rFonts w:ascii="Arial" w:hAnsi="Arial" w:cs="Arial"/>
        </w:rPr>
        <w:t xml:space="preserve">the </w:t>
      </w:r>
      <w:r w:rsidR="001101EF" w:rsidRPr="00BD6832">
        <w:rPr>
          <w:rFonts w:ascii="Arial" w:hAnsi="Arial" w:cs="Arial"/>
        </w:rPr>
        <w:t>lessee</w:t>
      </w:r>
      <w:r w:rsidR="00EB7F3E" w:rsidRPr="00BD6832">
        <w:rPr>
          <w:rFonts w:ascii="Arial" w:hAnsi="Arial" w:cs="Arial"/>
        </w:rPr>
        <w:t>’s decision to</w:t>
      </w:r>
      <w:r w:rsidR="001101EF" w:rsidRPr="00BD6832">
        <w:rPr>
          <w:rFonts w:ascii="Arial" w:hAnsi="Arial" w:cs="Arial"/>
        </w:rPr>
        <w:t xml:space="preserve"> </w:t>
      </w:r>
      <w:r w:rsidR="00EB7F3E" w:rsidRPr="00BD6832">
        <w:rPr>
          <w:rFonts w:ascii="Arial" w:hAnsi="Arial" w:cs="Arial"/>
        </w:rPr>
        <w:t>relocate</w:t>
      </w:r>
      <w:r w:rsidR="001101EF" w:rsidRPr="001101EF">
        <w:rPr>
          <w:rFonts w:ascii="Arial" w:hAnsi="Arial" w:cs="Arial"/>
          <w:color w:val="0070C0"/>
        </w:rPr>
        <w:t xml:space="preserve"> </w:t>
      </w:r>
      <w:r w:rsidR="001101EF">
        <w:rPr>
          <w:rFonts w:ascii="Arial" w:hAnsi="Arial" w:cs="Arial"/>
        </w:rPr>
        <w:t xml:space="preserve">the </w:t>
      </w:r>
      <w:r w:rsidR="0048067E">
        <w:rPr>
          <w:rFonts w:ascii="Arial" w:hAnsi="Arial" w:cs="Arial"/>
        </w:rPr>
        <w:t xml:space="preserve">asset to a different </w:t>
      </w:r>
      <w:r w:rsidR="00F332F1">
        <w:rPr>
          <w:rFonts w:ascii="Arial" w:hAnsi="Arial" w:cs="Arial"/>
        </w:rPr>
        <w:t>site</w:t>
      </w:r>
      <w:r w:rsidR="00AA67BF">
        <w:rPr>
          <w:rFonts w:ascii="Arial" w:hAnsi="Arial" w:cs="Arial"/>
        </w:rPr>
        <w:t xml:space="preserve">.  </w:t>
      </w:r>
      <w:r w:rsidR="00461042" w:rsidRPr="00BD6832">
        <w:rPr>
          <w:rFonts w:ascii="Arial" w:hAnsi="Arial" w:cs="Arial"/>
        </w:rPr>
        <w:t>As discussed below</w:t>
      </w:r>
      <w:r w:rsidR="000F5F3E">
        <w:rPr>
          <w:rFonts w:ascii="Arial" w:hAnsi="Arial" w:cs="Arial"/>
        </w:rPr>
        <w:t>, t</w:t>
      </w:r>
      <w:r w:rsidR="00DF7259">
        <w:rPr>
          <w:rFonts w:ascii="Arial" w:hAnsi="Arial" w:cs="Arial"/>
        </w:rPr>
        <w:t xml:space="preserve">here </w:t>
      </w:r>
      <w:r w:rsidR="00F255AD">
        <w:rPr>
          <w:rFonts w:ascii="Arial" w:hAnsi="Arial" w:cs="Arial"/>
        </w:rPr>
        <w:t xml:space="preserve">also is diversity in how taxes on personal property </w:t>
      </w:r>
      <w:r w:rsidR="00F255AD">
        <w:rPr>
          <w:rFonts w:ascii="Arial" w:hAnsi="Arial" w:cs="Arial"/>
        </w:rPr>
        <w:lastRenderedPageBreak/>
        <w:t>are levied</w:t>
      </w:r>
      <w:r w:rsidR="00D0055D" w:rsidRPr="00D0055D">
        <w:rPr>
          <w:rFonts w:ascii="Arial" w:hAnsi="Arial" w:cs="Arial"/>
          <w:color w:val="0070C0"/>
        </w:rPr>
        <w:t>,</w:t>
      </w:r>
      <w:r w:rsidR="00F255AD">
        <w:rPr>
          <w:rFonts w:ascii="Arial" w:hAnsi="Arial" w:cs="Arial"/>
        </w:rPr>
        <w:t xml:space="preserve"> with some </w:t>
      </w:r>
      <w:r w:rsidR="00F332F1">
        <w:rPr>
          <w:rFonts w:ascii="Arial" w:hAnsi="Arial" w:cs="Arial"/>
        </w:rPr>
        <w:t>j</w:t>
      </w:r>
      <w:r w:rsidR="00F91208">
        <w:rPr>
          <w:rFonts w:ascii="Arial" w:hAnsi="Arial" w:cs="Arial"/>
        </w:rPr>
        <w:t xml:space="preserve">urisdictions </w:t>
      </w:r>
      <w:r w:rsidR="00DF7259">
        <w:rPr>
          <w:rFonts w:ascii="Arial" w:hAnsi="Arial" w:cs="Arial"/>
        </w:rPr>
        <w:t xml:space="preserve">assessing </w:t>
      </w:r>
      <w:r w:rsidR="00DF7259" w:rsidRPr="00BD6832">
        <w:rPr>
          <w:rFonts w:ascii="Arial" w:hAnsi="Arial" w:cs="Arial"/>
        </w:rPr>
        <w:t xml:space="preserve">the </w:t>
      </w:r>
      <w:r w:rsidR="00F91208" w:rsidRPr="00BD6832">
        <w:rPr>
          <w:rFonts w:ascii="Arial" w:hAnsi="Arial" w:cs="Arial"/>
        </w:rPr>
        <w:t xml:space="preserve">lessor </w:t>
      </w:r>
      <w:r w:rsidR="00DF7259" w:rsidRPr="00BD6832">
        <w:rPr>
          <w:rFonts w:ascii="Arial" w:hAnsi="Arial" w:cs="Arial"/>
        </w:rPr>
        <w:t xml:space="preserve">and others assessing the </w:t>
      </w:r>
      <w:r w:rsidR="00F91208" w:rsidRPr="00BD6832">
        <w:rPr>
          <w:rFonts w:ascii="Arial" w:hAnsi="Arial" w:cs="Arial"/>
        </w:rPr>
        <w:t>lessee</w:t>
      </w:r>
      <w:r w:rsidR="00EB7F3E" w:rsidRPr="00BD6832">
        <w:rPr>
          <w:rFonts w:ascii="Arial" w:hAnsi="Arial" w:cs="Arial"/>
        </w:rPr>
        <w:t>. Since</w:t>
      </w:r>
      <w:r w:rsidR="00EB7F3E">
        <w:rPr>
          <w:rFonts w:ascii="Arial" w:hAnsi="Arial" w:cs="Arial"/>
          <w:color w:val="0070C0"/>
        </w:rPr>
        <w:t xml:space="preserve"> </w:t>
      </w:r>
      <w:r w:rsidR="00EB7F3E" w:rsidRPr="00BD6832">
        <w:rPr>
          <w:rFonts w:ascii="Arial" w:hAnsi="Arial" w:cs="Arial"/>
        </w:rPr>
        <w:t>equipment lessors generally originate net leases, it has not</w:t>
      </w:r>
      <w:r w:rsidR="00BD6832">
        <w:rPr>
          <w:rFonts w:ascii="Arial" w:hAnsi="Arial" w:cs="Arial"/>
          <w:color w:val="0070C0"/>
        </w:rPr>
        <w:t xml:space="preserve"> </w:t>
      </w:r>
      <w:r w:rsidR="00BD6832" w:rsidRPr="00166B62">
        <w:rPr>
          <w:rFonts w:ascii="Arial" w:hAnsi="Arial" w:cs="Arial"/>
        </w:rPr>
        <w:t>in the</w:t>
      </w:r>
      <w:r w:rsidR="00BD6832">
        <w:rPr>
          <w:rFonts w:ascii="Arial" w:hAnsi="Arial" w:cs="Arial"/>
          <w:color w:val="0070C0"/>
        </w:rPr>
        <w:t xml:space="preserve"> </w:t>
      </w:r>
      <w:r w:rsidR="00BD6832" w:rsidRPr="00BD6832">
        <w:rPr>
          <w:rFonts w:ascii="Arial" w:hAnsi="Arial" w:cs="Arial"/>
        </w:rPr>
        <w:t>past</w:t>
      </w:r>
      <w:r w:rsidR="00EB7F3E" w:rsidRPr="00BD6832">
        <w:rPr>
          <w:rFonts w:ascii="Arial" w:hAnsi="Arial" w:cs="Arial"/>
        </w:rPr>
        <w:t xml:space="preserve"> been necessary to determine </w:t>
      </w:r>
      <w:r w:rsidR="00D82BA2" w:rsidRPr="00BD6832">
        <w:rPr>
          <w:rFonts w:ascii="Arial" w:hAnsi="Arial" w:cs="Arial"/>
        </w:rPr>
        <w:t>the primary obligor apart from</w:t>
      </w:r>
      <w:r w:rsidR="00D82BA2">
        <w:rPr>
          <w:rFonts w:ascii="Arial" w:hAnsi="Arial" w:cs="Arial"/>
          <w:color w:val="0070C0"/>
        </w:rPr>
        <w:t xml:space="preserve"> </w:t>
      </w:r>
      <w:r w:rsidR="00BD6832" w:rsidRPr="00166B62">
        <w:rPr>
          <w:rFonts w:ascii="Arial" w:hAnsi="Arial" w:cs="Arial"/>
        </w:rPr>
        <w:t>what is provided in</w:t>
      </w:r>
      <w:r w:rsidR="00BD6832">
        <w:rPr>
          <w:rFonts w:ascii="Arial" w:hAnsi="Arial" w:cs="Arial"/>
          <w:color w:val="0070C0"/>
        </w:rPr>
        <w:t xml:space="preserve"> </w:t>
      </w:r>
      <w:r w:rsidR="00D82BA2" w:rsidRPr="00BD6832">
        <w:rPr>
          <w:rFonts w:ascii="Arial" w:hAnsi="Arial" w:cs="Arial"/>
        </w:rPr>
        <w:t>the lease contract</w:t>
      </w:r>
      <w:r w:rsidR="00D82BA2">
        <w:rPr>
          <w:rFonts w:ascii="Arial" w:hAnsi="Arial" w:cs="Arial"/>
          <w:color w:val="0070C0"/>
        </w:rPr>
        <w:t xml:space="preserve">. </w:t>
      </w:r>
      <w:r w:rsidR="00F255AD">
        <w:rPr>
          <w:rFonts w:ascii="Arial" w:hAnsi="Arial" w:cs="Arial"/>
        </w:rPr>
        <w:t xml:space="preserve"> </w:t>
      </w:r>
    </w:p>
    <w:p w:rsidR="00461042" w:rsidRPr="00654BFE" w:rsidRDefault="00B520E6" w:rsidP="0035627E">
      <w:pPr>
        <w:rPr>
          <w:rFonts w:ascii="Arial" w:hAnsi="Arial" w:cs="Arial"/>
        </w:rPr>
      </w:pPr>
      <w:r>
        <w:rPr>
          <w:rFonts w:ascii="Arial" w:hAnsi="Arial" w:cs="Arial"/>
        </w:rPr>
        <w:t xml:space="preserve">With personal property </w:t>
      </w:r>
      <w:r w:rsidR="00461042" w:rsidRPr="00166B62">
        <w:rPr>
          <w:rFonts w:ascii="Arial" w:hAnsi="Arial" w:cs="Arial"/>
        </w:rPr>
        <w:t>taxes</w:t>
      </w:r>
      <w:r w:rsidR="000F5F3E">
        <w:rPr>
          <w:rFonts w:ascii="Arial" w:hAnsi="Arial" w:cs="Arial"/>
        </w:rPr>
        <w:t>,</w:t>
      </w:r>
      <w:r w:rsidR="00461042">
        <w:rPr>
          <w:rFonts w:ascii="Arial" w:hAnsi="Arial" w:cs="Arial"/>
        </w:rPr>
        <w:t xml:space="preserve"> </w:t>
      </w:r>
      <w:r>
        <w:rPr>
          <w:rFonts w:ascii="Arial" w:hAnsi="Arial" w:cs="Arial"/>
        </w:rPr>
        <w:t xml:space="preserve">there </w:t>
      </w:r>
      <w:r w:rsidR="00461042">
        <w:rPr>
          <w:rFonts w:ascii="Arial" w:hAnsi="Arial" w:cs="Arial"/>
        </w:rPr>
        <w:t xml:space="preserve">is more complexity </w:t>
      </w:r>
      <w:r>
        <w:rPr>
          <w:rFonts w:ascii="Arial" w:hAnsi="Arial" w:cs="Arial"/>
        </w:rPr>
        <w:t>than with real property</w:t>
      </w:r>
      <w:r w:rsidR="00461042">
        <w:rPr>
          <w:rFonts w:ascii="Arial" w:hAnsi="Arial" w:cs="Arial"/>
        </w:rPr>
        <w:t xml:space="preserve"> </w:t>
      </w:r>
      <w:r w:rsidR="00461042" w:rsidRPr="00654BFE">
        <w:rPr>
          <w:rFonts w:ascii="Arial" w:hAnsi="Arial" w:cs="Arial"/>
        </w:rPr>
        <w:t xml:space="preserve">in determining the </w:t>
      </w:r>
      <w:r w:rsidR="00B0345A" w:rsidRPr="00654BFE">
        <w:rPr>
          <w:rFonts w:ascii="Arial" w:hAnsi="Arial" w:cs="Arial"/>
        </w:rPr>
        <w:t>primary obligor</w:t>
      </w:r>
      <w:r w:rsidRPr="00654BFE">
        <w:rPr>
          <w:rFonts w:ascii="Arial" w:hAnsi="Arial" w:cs="Arial"/>
        </w:rPr>
        <w:t xml:space="preserve">.  </w:t>
      </w:r>
      <w:r w:rsidR="00B0345A" w:rsidRPr="00654BFE">
        <w:rPr>
          <w:rFonts w:ascii="Arial" w:hAnsi="Arial" w:cs="Arial"/>
        </w:rPr>
        <w:t>T</w:t>
      </w:r>
      <w:r w:rsidR="008B2BF2" w:rsidRPr="00654BFE">
        <w:rPr>
          <w:rFonts w:ascii="Arial" w:hAnsi="Arial" w:cs="Arial"/>
        </w:rPr>
        <w:t xml:space="preserve">he task </w:t>
      </w:r>
      <w:r w:rsidR="006F6973" w:rsidRPr="00654BFE">
        <w:rPr>
          <w:rFonts w:ascii="Arial" w:hAnsi="Arial" w:cs="Arial"/>
        </w:rPr>
        <w:t xml:space="preserve">would </w:t>
      </w:r>
      <w:r w:rsidR="008B2BF2" w:rsidRPr="00654BFE">
        <w:rPr>
          <w:rFonts w:ascii="Arial" w:hAnsi="Arial" w:cs="Arial"/>
        </w:rPr>
        <w:t xml:space="preserve">require a jurisdiction-by-jurisdiction review, </w:t>
      </w:r>
      <w:r w:rsidR="006F6973" w:rsidRPr="00654BFE">
        <w:rPr>
          <w:rFonts w:ascii="Arial" w:hAnsi="Arial" w:cs="Arial"/>
        </w:rPr>
        <w:t xml:space="preserve">of which </w:t>
      </w:r>
      <w:r w:rsidR="00ED3D92" w:rsidRPr="00654BFE">
        <w:rPr>
          <w:rFonts w:ascii="Arial" w:hAnsi="Arial" w:cs="Arial"/>
        </w:rPr>
        <w:t xml:space="preserve">there are approximately </w:t>
      </w:r>
      <w:r w:rsidRPr="00654BFE">
        <w:rPr>
          <w:rFonts w:ascii="Arial" w:hAnsi="Arial" w:cs="Arial"/>
        </w:rPr>
        <w:t xml:space="preserve">3,000 </w:t>
      </w:r>
      <w:r w:rsidR="00B0345A" w:rsidRPr="00654BFE">
        <w:rPr>
          <w:rFonts w:ascii="Arial" w:hAnsi="Arial" w:cs="Arial"/>
        </w:rPr>
        <w:t xml:space="preserve">assessing </w:t>
      </w:r>
      <w:r w:rsidRPr="00654BFE">
        <w:rPr>
          <w:rFonts w:ascii="Arial" w:hAnsi="Arial" w:cs="Arial"/>
        </w:rPr>
        <w:t>counties in the United States</w:t>
      </w:r>
      <w:r w:rsidR="006F6973" w:rsidRPr="00654BFE">
        <w:rPr>
          <w:rFonts w:ascii="Arial" w:hAnsi="Arial" w:cs="Arial"/>
        </w:rPr>
        <w:t>.</w:t>
      </w:r>
      <w:r w:rsidR="00654BFE" w:rsidRPr="00654BFE">
        <w:rPr>
          <w:rFonts w:ascii="Arial" w:hAnsi="Arial" w:cs="Arial"/>
        </w:rPr>
        <w:t xml:space="preserve"> </w:t>
      </w:r>
      <w:r w:rsidRPr="00654BFE">
        <w:rPr>
          <w:rFonts w:ascii="Arial" w:hAnsi="Arial" w:cs="Arial"/>
        </w:rPr>
        <w:t xml:space="preserve"> </w:t>
      </w:r>
      <w:r w:rsidR="006F6973" w:rsidRPr="00654BFE">
        <w:rPr>
          <w:rFonts w:ascii="Arial" w:hAnsi="Arial" w:cs="Arial"/>
        </w:rPr>
        <w:t>W</w:t>
      </w:r>
      <w:r w:rsidRPr="00654BFE">
        <w:rPr>
          <w:rFonts w:ascii="Arial" w:hAnsi="Arial" w:cs="Arial"/>
        </w:rPr>
        <w:t xml:space="preserve">hile </w:t>
      </w:r>
      <w:r w:rsidR="00B0345A" w:rsidRPr="00654BFE">
        <w:rPr>
          <w:rFonts w:ascii="Arial" w:hAnsi="Arial" w:cs="Arial"/>
        </w:rPr>
        <w:t xml:space="preserve">each </w:t>
      </w:r>
      <w:r w:rsidRPr="00654BFE">
        <w:rPr>
          <w:rFonts w:ascii="Arial" w:hAnsi="Arial" w:cs="Arial"/>
        </w:rPr>
        <w:t>state</w:t>
      </w:r>
      <w:r w:rsidR="00B0345A" w:rsidRPr="00654BFE">
        <w:rPr>
          <w:rFonts w:ascii="Arial" w:hAnsi="Arial" w:cs="Arial"/>
        </w:rPr>
        <w:t>’s governing</w:t>
      </w:r>
      <w:r w:rsidRPr="00654BFE">
        <w:rPr>
          <w:rFonts w:ascii="Arial" w:hAnsi="Arial" w:cs="Arial"/>
        </w:rPr>
        <w:t xml:space="preserve"> law </w:t>
      </w:r>
      <w:r w:rsidR="006F6973" w:rsidRPr="00654BFE">
        <w:rPr>
          <w:rFonts w:ascii="Arial" w:hAnsi="Arial" w:cs="Arial"/>
        </w:rPr>
        <w:t xml:space="preserve">generally </w:t>
      </w:r>
      <w:r w:rsidRPr="00654BFE">
        <w:rPr>
          <w:rFonts w:ascii="Arial" w:hAnsi="Arial" w:cs="Arial"/>
        </w:rPr>
        <w:t xml:space="preserve">provides </w:t>
      </w:r>
      <w:r w:rsidR="006F6973" w:rsidRPr="00654BFE">
        <w:rPr>
          <w:rFonts w:ascii="Arial" w:hAnsi="Arial" w:cs="Arial"/>
        </w:rPr>
        <w:t xml:space="preserve">a basis for </w:t>
      </w:r>
      <w:r w:rsidRPr="00654BFE">
        <w:rPr>
          <w:rFonts w:ascii="Arial" w:hAnsi="Arial" w:cs="Arial"/>
        </w:rPr>
        <w:t>uniformity</w:t>
      </w:r>
      <w:r w:rsidR="006F6973" w:rsidRPr="00654BFE">
        <w:rPr>
          <w:rFonts w:ascii="Arial" w:hAnsi="Arial" w:cs="Arial"/>
        </w:rPr>
        <w:t xml:space="preserve"> in assessment</w:t>
      </w:r>
      <w:r w:rsidR="00166B62">
        <w:rPr>
          <w:rFonts w:ascii="Arial" w:hAnsi="Arial" w:cs="Arial"/>
        </w:rPr>
        <w:t xml:space="preserve"> -- </w:t>
      </w:r>
      <w:r w:rsidR="006F6973" w:rsidRPr="00654BFE">
        <w:rPr>
          <w:rFonts w:ascii="Arial" w:hAnsi="Arial" w:cs="Arial"/>
        </w:rPr>
        <w:t>e.</w:t>
      </w:r>
      <w:r w:rsidR="00B0345A" w:rsidRPr="00654BFE">
        <w:rPr>
          <w:rFonts w:ascii="Arial" w:hAnsi="Arial" w:cs="Arial"/>
        </w:rPr>
        <w:t>g.</w:t>
      </w:r>
      <w:r w:rsidR="006F6973" w:rsidRPr="00654BFE">
        <w:rPr>
          <w:rFonts w:ascii="Arial" w:hAnsi="Arial" w:cs="Arial"/>
        </w:rPr>
        <w:t>, ownership under commercial law</w:t>
      </w:r>
      <w:r w:rsidR="00166B62">
        <w:rPr>
          <w:rFonts w:ascii="Arial" w:hAnsi="Arial" w:cs="Arial"/>
        </w:rPr>
        <w:t xml:space="preserve"> </w:t>
      </w:r>
      <w:r w:rsidR="006F6973" w:rsidRPr="00654BFE">
        <w:rPr>
          <w:rFonts w:ascii="Arial" w:hAnsi="Arial" w:cs="Arial"/>
        </w:rPr>
        <w:t>--</w:t>
      </w:r>
      <w:r w:rsidRPr="00654BFE">
        <w:rPr>
          <w:rFonts w:ascii="Arial" w:hAnsi="Arial" w:cs="Arial"/>
        </w:rPr>
        <w:t xml:space="preserve"> </w:t>
      </w:r>
      <w:r w:rsidR="00B0345A" w:rsidRPr="00654BFE">
        <w:rPr>
          <w:rFonts w:ascii="Arial" w:hAnsi="Arial" w:cs="Arial"/>
        </w:rPr>
        <w:t xml:space="preserve">it also often grants </w:t>
      </w:r>
      <w:r w:rsidRPr="00654BFE">
        <w:rPr>
          <w:rFonts w:ascii="Arial" w:hAnsi="Arial" w:cs="Arial"/>
        </w:rPr>
        <w:t xml:space="preserve">local assessors </w:t>
      </w:r>
      <w:r w:rsidR="00B0345A" w:rsidRPr="00654BFE">
        <w:rPr>
          <w:rFonts w:ascii="Arial" w:hAnsi="Arial" w:cs="Arial"/>
        </w:rPr>
        <w:t xml:space="preserve">with </w:t>
      </w:r>
      <w:r w:rsidRPr="00654BFE">
        <w:rPr>
          <w:rFonts w:ascii="Arial" w:hAnsi="Arial" w:cs="Arial"/>
        </w:rPr>
        <w:t xml:space="preserve">discretion as to which party to assess. </w:t>
      </w:r>
      <w:r w:rsidR="00FA3CFC" w:rsidRPr="00654BFE">
        <w:rPr>
          <w:rFonts w:ascii="Arial" w:hAnsi="Arial" w:cs="Arial"/>
        </w:rPr>
        <w:t xml:space="preserve">Hence, the lessee’s direct payment </w:t>
      </w:r>
      <w:r w:rsidR="00B0345A" w:rsidRPr="00654BFE">
        <w:rPr>
          <w:rFonts w:ascii="Arial" w:hAnsi="Arial" w:cs="Arial"/>
        </w:rPr>
        <w:t xml:space="preserve">of </w:t>
      </w:r>
      <w:r w:rsidR="007D4AC3" w:rsidRPr="00654BFE">
        <w:rPr>
          <w:rFonts w:ascii="Arial" w:hAnsi="Arial" w:cs="Arial"/>
        </w:rPr>
        <w:t xml:space="preserve">personal </w:t>
      </w:r>
      <w:r w:rsidR="00B0345A" w:rsidRPr="00654BFE">
        <w:rPr>
          <w:rFonts w:ascii="Arial" w:hAnsi="Arial" w:cs="Arial"/>
        </w:rPr>
        <w:t xml:space="preserve">property taxes </w:t>
      </w:r>
      <w:r w:rsidR="00FA3CFC" w:rsidRPr="00654BFE">
        <w:rPr>
          <w:rFonts w:ascii="Arial" w:hAnsi="Arial" w:cs="Arial"/>
        </w:rPr>
        <w:t xml:space="preserve">is not in itself determinative of a lessor cost. Nor is the lessee’s reimbursement of the lessor’s payment of property taxes determinative.  </w:t>
      </w:r>
      <w:r w:rsidR="007D4AC3" w:rsidRPr="00654BFE">
        <w:rPr>
          <w:rFonts w:ascii="Arial" w:hAnsi="Arial" w:cs="Arial"/>
        </w:rPr>
        <w:t>Further, like a mortgage provider, the</w:t>
      </w:r>
      <w:r w:rsidR="00FA3CFC" w:rsidRPr="00654BFE">
        <w:rPr>
          <w:rFonts w:ascii="Arial" w:hAnsi="Arial" w:cs="Arial"/>
        </w:rPr>
        <w:t xml:space="preserve"> lessor may choose to act as an agent, billing and collecting </w:t>
      </w:r>
      <w:r w:rsidR="00461042" w:rsidRPr="00654BFE">
        <w:rPr>
          <w:rFonts w:ascii="Arial" w:hAnsi="Arial" w:cs="Arial"/>
        </w:rPr>
        <w:t xml:space="preserve">from </w:t>
      </w:r>
      <w:r w:rsidR="00FA3CFC" w:rsidRPr="00654BFE">
        <w:rPr>
          <w:rFonts w:ascii="Arial" w:hAnsi="Arial" w:cs="Arial"/>
        </w:rPr>
        <w:t xml:space="preserve">the lessee </w:t>
      </w:r>
      <w:r w:rsidR="00461042" w:rsidRPr="00654BFE">
        <w:rPr>
          <w:rFonts w:ascii="Arial" w:hAnsi="Arial" w:cs="Arial"/>
        </w:rPr>
        <w:t xml:space="preserve">and remitting those funds to the assessor in the interest of keeping the underlying free of tax liens. </w:t>
      </w:r>
      <w:r w:rsidRPr="00654BFE">
        <w:rPr>
          <w:rFonts w:ascii="Arial" w:hAnsi="Arial" w:cs="Arial"/>
        </w:rPr>
        <w:t xml:space="preserve"> </w:t>
      </w:r>
    </w:p>
    <w:p w:rsidR="00654BFE" w:rsidRPr="00166B62" w:rsidRDefault="00B520E6" w:rsidP="0035627E">
      <w:pPr>
        <w:rPr>
          <w:rFonts w:ascii="Arial" w:hAnsi="Arial" w:cs="Arial"/>
        </w:rPr>
      </w:pPr>
      <w:r>
        <w:rPr>
          <w:rFonts w:ascii="Arial" w:hAnsi="Arial" w:cs="Arial"/>
        </w:rPr>
        <w:t xml:space="preserve">We also note </w:t>
      </w:r>
      <w:r w:rsidR="001C3B48">
        <w:rPr>
          <w:rFonts w:ascii="Arial" w:hAnsi="Arial" w:cs="Arial"/>
        </w:rPr>
        <w:t xml:space="preserve">that personal property leasing </w:t>
      </w:r>
      <w:r>
        <w:rPr>
          <w:rFonts w:ascii="Arial" w:hAnsi="Arial" w:cs="Arial"/>
        </w:rPr>
        <w:t>involves millions of small ticket transactions (approximately $5,000 to $10,000).  The number of taxing jurisdictions taken with the large volume of low value transactions leaves lessors of equipment in a situation that is not dissimilar to that which exists with sales and use tax (BC 8)</w:t>
      </w:r>
      <w:r w:rsidR="006F6973">
        <w:rPr>
          <w:rFonts w:ascii="Arial" w:hAnsi="Arial" w:cs="Arial"/>
        </w:rPr>
        <w:t>.</w:t>
      </w:r>
      <w:r>
        <w:rPr>
          <w:rFonts w:ascii="Arial" w:hAnsi="Arial" w:cs="Arial"/>
        </w:rPr>
        <w:t xml:space="preserve"> </w:t>
      </w:r>
      <w:r w:rsidR="00166B62">
        <w:rPr>
          <w:rFonts w:ascii="Arial" w:hAnsi="Arial" w:cs="Arial"/>
        </w:rPr>
        <w:t xml:space="preserve"> </w:t>
      </w:r>
      <w:r w:rsidR="00B0345A" w:rsidRPr="00166B62">
        <w:rPr>
          <w:rFonts w:ascii="Arial" w:hAnsi="Arial" w:cs="Arial"/>
        </w:rPr>
        <w:t xml:space="preserve">Further, the available property tax </w:t>
      </w:r>
      <w:r w:rsidR="000A7059" w:rsidRPr="00166B62">
        <w:rPr>
          <w:rFonts w:ascii="Arial" w:hAnsi="Arial" w:cs="Arial"/>
        </w:rPr>
        <w:t xml:space="preserve">records for such assets </w:t>
      </w:r>
      <w:r w:rsidR="00B0345A" w:rsidRPr="00166B62">
        <w:rPr>
          <w:rFonts w:ascii="Arial" w:hAnsi="Arial" w:cs="Arial"/>
        </w:rPr>
        <w:t>may only be readily available in the aggregate, e.g., by asset type and years placed in service</w:t>
      </w:r>
      <w:r w:rsidR="007D4AC3" w:rsidRPr="00166B62">
        <w:rPr>
          <w:rFonts w:ascii="Arial" w:hAnsi="Arial" w:cs="Arial"/>
        </w:rPr>
        <w:t xml:space="preserve">, and </w:t>
      </w:r>
      <w:r w:rsidR="000C7CD1">
        <w:rPr>
          <w:rFonts w:ascii="Arial" w:hAnsi="Arial" w:cs="Arial"/>
        </w:rPr>
        <w:t>thus</w:t>
      </w:r>
      <w:r w:rsidR="007D4AC3" w:rsidRPr="00166B62">
        <w:rPr>
          <w:rFonts w:ascii="Arial" w:hAnsi="Arial" w:cs="Arial"/>
        </w:rPr>
        <w:t xml:space="preserve"> require obtaining supplemental information from the lessee or taxing authorities to derive the cost</w:t>
      </w:r>
      <w:r w:rsidR="007858A5">
        <w:rPr>
          <w:rFonts w:ascii="Arial" w:hAnsi="Arial" w:cs="Arial"/>
        </w:rPr>
        <w:t xml:space="preserve"> the lessor would need to account for.</w:t>
      </w:r>
    </w:p>
    <w:p w:rsidR="00025226" w:rsidRPr="00166B62" w:rsidRDefault="00025226" w:rsidP="0035627E">
      <w:pPr>
        <w:rPr>
          <w:rFonts w:ascii="Arial" w:hAnsi="Arial"/>
          <w:szCs w:val="21"/>
          <w:u w:val="single"/>
          <w:shd w:val="clear" w:color="auto" w:fill="FFFFFF"/>
        </w:rPr>
      </w:pPr>
      <w:r w:rsidRPr="00166B62">
        <w:rPr>
          <w:rFonts w:ascii="Arial" w:hAnsi="Arial"/>
          <w:szCs w:val="21"/>
          <w:u w:val="single"/>
          <w:shd w:val="clear" w:color="auto" w:fill="FFFFFF"/>
        </w:rPr>
        <w:t>Insurance Costs</w:t>
      </w:r>
    </w:p>
    <w:p w:rsidR="00B520E6" w:rsidRDefault="00DF37E1" w:rsidP="0035627E">
      <w:pPr>
        <w:rPr>
          <w:rFonts w:ascii="Arial" w:hAnsi="Arial"/>
          <w:color w:val="222222"/>
          <w:szCs w:val="21"/>
          <w:shd w:val="clear" w:color="auto" w:fill="FFFFFF"/>
        </w:rPr>
      </w:pPr>
      <w:r w:rsidRPr="00DF37E1">
        <w:rPr>
          <w:rFonts w:ascii="Arial" w:hAnsi="Arial"/>
          <w:color w:val="222222"/>
          <w:szCs w:val="21"/>
          <w:shd w:val="clear" w:color="auto" w:fill="FFFFFF"/>
        </w:rPr>
        <w:t>Federal or state banking laws specify the primary obligor by means of permitted authorities for certain executory costs.  For example, national banks are permitted to engage in personal property leasing</w:t>
      </w:r>
      <w:r w:rsidR="000A7059">
        <w:rPr>
          <w:rFonts w:ascii="Arial" w:hAnsi="Arial"/>
          <w:color w:val="222222"/>
          <w:szCs w:val="21"/>
          <w:shd w:val="clear" w:color="auto" w:fill="FFFFFF"/>
        </w:rPr>
        <w:t xml:space="preserve"> generally</w:t>
      </w:r>
      <w:r w:rsidRPr="00DF37E1">
        <w:rPr>
          <w:rFonts w:ascii="Arial" w:hAnsi="Arial"/>
          <w:color w:val="222222"/>
          <w:szCs w:val="21"/>
          <w:shd w:val="clear" w:color="auto" w:fill="FFFFFF"/>
        </w:rPr>
        <w:t xml:space="preserve"> </w:t>
      </w:r>
      <w:r w:rsidRPr="00166B62">
        <w:rPr>
          <w:rFonts w:ascii="Arial" w:hAnsi="Arial"/>
          <w:szCs w:val="21"/>
          <w:shd w:val="clear" w:color="auto" w:fill="FFFFFF"/>
        </w:rPr>
        <w:t xml:space="preserve">only by </w:t>
      </w:r>
      <w:r w:rsidR="000A7059" w:rsidRPr="00166B62">
        <w:rPr>
          <w:rFonts w:ascii="Arial" w:hAnsi="Arial"/>
          <w:szCs w:val="21"/>
          <w:shd w:val="clear" w:color="auto" w:fill="FFFFFF"/>
        </w:rPr>
        <w:t xml:space="preserve">acquiring specific property pursuant to a legally binding conforming </w:t>
      </w:r>
      <w:r w:rsidR="00166B62" w:rsidRPr="00166B62">
        <w:rPr>
          <w:rFonts w:ascii="Arial" w:hAnsi="Arial"/>
          <w:szCs w:val="21"/>
          <w:shd w:val="clear" w:color="auto" w:fill="FFFFFF"/>
        </w:rPr>
        <w:t>lease, which</w:t>
      </w:r>
      <w:r w:rsidR="000A7059" w:rsidRPr="00166B62">
        <w:rPr>
          <w:rFonts w:ascii="Arial" w:hAnsi="Arial"/>
          <w:szCs w:val="21"/>
          <w:shd w:val="clear" w:color="auto" w:fill="FFFFFF"/>
        </w:rPr>
        <w:t xml:space="preserve">, among other requirements, </w:t>
      </w:r>
      <w:r w:rsidR="00025226" w:rsidRPr="00166B62">
        <w:rPr>
          <w:rFonts w:ascii="Arial" w:hAnsi="Arial"/>
          <w:szCs w:val="21"/>
          <w:shd w:val="clear" w:color="auto" w:fill="FFFFFF"/>
        </w:rPr>
        <w:t xml:space="preserve">must be </w:t>
      </w:r>
      <w:r w:rsidRPr="00166B62">
        <w:rPr>
          <w:rFonts w:ascii="Arial" w:hAnsi="Arial"/>
          <w:szCs w:val="21"/>
          <w:shd w:val="clear" w:color="auto" w:fill="FFFFFF"/>
        </w:rPr>
        <w:t>on a net</w:t>
      </w:r>
      <w:r w:rsidR="000C7CD1">
        <w:rPr>
          <w:rFonts w:ascii="Arial" w:hAnsi="Arial"/>
          <w:szCs w:val="21"/>
          <w:shd w:val="clear" w:color="auto" w:fill="FFFFFF"/>
        </w:rPr>
        <w:t xml:space="preserve"> </w:t>
      </w:r>
      <w:r w:rsidRPr="00166B62">
        <w:rPr>
          <w:rFonts w:ascii="Arial" w:hAnsi="Arial"/>
          <w:szCs w:val="21"/>
          <w:shd w:val="clear" w:color="auto" w:fill="FFFFFF"/>
        </w:rPr>
        <w:t>lease basis</w:t>
      </w:r>
      <w:r w:rsidRPr="00DF37E1">
        <w:rPr>
          <w:rFonts w:ascii="Arial" w:hAnsi="Arial"/>
          <w:color w:val="222222"/>
          <w:szCs w:val="21"/>
          <w:shd w:val="clear" w:color="auto" w:fill="FFFFFF"/>
        </w:rPr>
        <w:t>.  A net lease is defined as one that does not directly or indirectly obligate the bank to provide maintenance</w:t>
      </w:r>
      <w:r w:rsidR="00114C6F">
        <w:rPr>
          <w:rFonts w:ascii="Arial" w:hAnsi="Arial"/>
          <w:color w:val="222222"/>
          <w:szCs w:val="21"/>
          <w:shd w:val="clear" w:color="auto" w:fill="FFFFFF"/>
        </w:rPr>
        <w:t>,</w:t>
      </w:r>
      <w:r w:rsidRPr="00DF37E1">
        <w:rPr>
          <w:rFonts w:ascii="Arial" w:hAnsi="Arial"/>
          <w:color w:val="222222"/>
          <w:szCs w:val="21"/>
          <w:shd w:val="clear" w:color="auto" w:fill="FFFFFF"/>
        </w:rPr>
        <w:t xml:space="preserve"> insurance</w:t>
      </w:r>
      <w:r w:rsidR="00114C6F">
        <w:rPr>
          <w:rFonts w:ascii="Arial" w:hAnsi="Arial"/>
          <w:color w:val="222222"/>
          <w:szCs w:val="21"/>
          <w:shd w:val="clear" w:color="auto" w:fill="FFFFFF"/>
        </w:rPr>
        <w:t xml:space="preserve">, </w:t>
      </w:r>
      <w:r w:rsidR="00114C6F" w:rsidRPr="00166B62">
        <w:rPr>
          <w:rFonts w:ascii="Arial" w:hAnsi="Arial"/>
          <w:szCs w:val="21"/>
          <w:shd w:val="clear" w:color="auto" w:fill="FFFFFF"/>
        </w:rPr>
        <w:t>parts or accessories for the asset</w:t>
      </w:r>
      <w:r w:rsidRPr="00166B62">
        <w:rPr>
          <w:rFonts w:ascii="Arial" w:hAnsi="Arial"/>
          <w:szCs w:val="21"/>
          <w:shd w:val="clear" w:color="auto" w:fill="FFFFFF"/>
        </w:rPr>
        <w:t>.  </w:t>
      </w:r>
      <w:r w:rsidRPr="00DF37E1">
        <w:rPr>
          <w:rFonts w:ascii="Arial" w:hAnsi="Arial"/>
          <w:color w:val="222222"/>
          <w:szCs w:val="21"/>
          <w:shd w:val="clear" w:color="auto" w:fill="FFFFFF"/>
        </w:rPr>
        <w:t xml:space="preserve">Accordingly, </w:t>
      </w:r>
      <w:r w:rsidR="00025226" w:rsidRPr="00166B62">
        <w:rPr>
          <w:rFonts w:ascii="Arial" w:hAnsi="Arial"/>
          <w:szCs w:val="21"/>
          <w:shd w:val="clear" w:color="auto" w:fill="FFFFFF"/>
        </w:rPr>
        <w:t>we believe</w:t>
      </w:r>
      <w:r w:rsidR="00025226" w:rsidRPr="00025226">
        <w:rPr>
          <w:rFonts w:ascii="Arial" w:hAnsi="Arial"/>
          <w:color w:val="0070C0"/>
          <w:szCs w:val="21"/>
          <w:shd w:val="clear" w:color="auto" w:fill="FFFFFF"/>
        </w:rPr>
        <w:t xml:space="preserve"> </w:t>
      </w:r>
      <w:r w:rsidRPr="00DF37E1">
        <w:rPr>
          <w:rFonts w:ascii="Arial" w:hAnsi="Arial"/>
          <w:color w:val="222222"/>
          <w:szCs w:val="21"/>
          <w:shd w:val="clear" w:color="auto" w:fill="FFFFFF"/>
        </w:rPr>
        <w:t xml:space="preserve">bank regulation renders the lessee as the primary obligor for </w:t>
      </w:r>
      <w:r w:rsidR="00114C6F">
        <w:rPr>
          <w:rFonts w:ascii="Arial" w:hAnsi="Arial"/>
          <w:color w:val="222222"/>
          <w:szCs w:val="21"/>
          <w:shd w:val="clear" w:color="auto" w:fill="FFFFFF"/>
        </w:rPr>
        <w:t>insurance costs.</w:t>
      </w:r>
      <w:r w:rsidRPr="00DF37E1">
        <w:rPr>
          <w:rFonts w:ascii="Arial" w:hAnsi="Arial"/>
          <w:color w:val="222222"/>
          <w:szCs w:val="21"/>
          <w:shd w:val="clear" w:color="auto" w:fill="FFFFFF"/>
        </w:rPr>
        <w:t xml:space="preserve">  </w:t>
      </w:r>
    </w:p>
    <w:p w:rsidR="0035627E" w:rsidRPr="0035627E" w:rsidRDefault="00114C6F" w:rsidP="0035627E">
      <w:pPr>
        <w:rPr>
          <w:rFonts w:ascii="Arial" w:hAnsi="Arial"/>
          <w:szCs w:val="20"/>
        </w:rPr>
      </w:pPr>
      <w:r w:rsidRPr="00166B62">
        <w:rPr>
          <w:rFonts w:ascii="Arial" w:hAnsi="Arial"/>
          <w:szCs w:val="21"/>
          <w:shd w:val="clear" w:color="auto" w:fill="FFFFFF"/>
        </w:rPr>
        <w:t>In cases where the lessor is or may be the primary obligor</w:t>
      </w:r>
      <w:r>
        <w:rPr>
          <w:rFonts w:ascii="Arial" w:hAnsi="Arial"/>
          <w:color w:val="222222"/>
          <w:szCs w:val="21"/>
          <w:shd w:val="clear" w:color="auto" w:fill="FFFFFF"/>
        </w:rPr>
        <w:t>, w</w:t>
      </w:r>
      <w:r w:rsidR="00DF37E1" w:rsidRPr="00DF37E1">
        <w:rPr>
          <w:rFonts w:ascii="Arial" w:hAnsi="Arial"/>
          <w:color w:val="222222"/>
          <w:szCs w:val="21"/>
          <w:shd w:val="clear" w:color="auto" w:fill="FFFFFF"/>
        </w:rPr>
        <w:t>e support the Board’s proposal to exclude from variable payments lessor costs paid by a lessee directly to a third party when the amount of lessor costs paid by the lessee is not readily determinable by the lessor</w:t>
      </w:r>
      <w:r w:rsidR="00362F0A">
        <w:rPr>
          <w:rFonts w:ascii="Arial" w:hAnsi="Arial"/>
          <w:color w:val="222222"/>
          <w:szCs w:val="21"/>
          <w:shd w:val="clear" w:color="auto" w:fill="FFFFFF"/>
        </w:rPr>
        <w:t>, but we do find the determinable approach is not sufficiently robust to deal with all of the situations that a lessor will encounter</w:t>
      </w:r>
      <w:r w:rsidR="00DF37E1" w:rsidRPr="00DF37E1">
        <w:rPr>
          <w:rFonts w:ascii="Arial" w:hAnsi="Arial"/>
          <w:color w:val="222222"/>
          <w:szCs w:val="21"/>
          <w:shd w:val="clear" w:color="auto" w:fill="FFFFFF"/>
        </w:rPr>
        <w:t>.</w:t>
      </w:r>
    </w:p>
    <w:p w:rsidR="007858A5" w:rsidRPr="0033397F" w:rsidRDefault="007858A5" w:rsidP="00681891">
      <w:pPr>
        <w:rPr>
          <w:rFonts w:ascii="Arial" w:hAnsi="Arial" w:cs="Arial"/>
          <w:u w:val="single"/>
        </w:rPr>
      </w:pPr>
      <w:r w:rsidRPr="0033397F">
        <w:rPr>
          <w:rFonts w:ascii="Arial" w:hAnsi="Arial" w:cs="Arial"/>
          <w:u w:val="single"/>
        </w:rPr>
        <w:t>Other Considerations and Questions for Respondents</w:t>
      </w:r>
    </w:p>
    <w:p w:rsidR="0059796A" w:rsidRDefault="001C3B48" w:rsidP="00681891">
      <w:pPr>
        <w:rPr>
          <w:rFonts w:ascii="Arial" w:hAnsi="Arial" w:cs="Arial"/>
        </w:rPr>
      </w:pPr>
      <w:r>
        <w:rPr>
          <w:rFonts w:ascii="Arial" w:hAnsi="Arial" w:cs="Arial"/>
        </w:rPr>
        <w:t>Ultimately, i</w:t>
      </w:r>
      <w:r w:rsidR="00C411B6">
        <w:rPr>
          <w:rFonts w:ascii="Arial" w:hAnsi="Arial" w:cs="Arial"/>
        </w:rPr>
        <w:t xml:space="preserve">t is worth noting </w:t>
      </w:r>
      <w:r w:rsidR="00114C6F">
        <w:rPr>
          <w:rFonts w:ascii="Arial" w:hAnsi="Arial" w:cs="Arial"/>
        </w:rPr>
        <w:t>for leases of equipment</w:t>
      </w:r>
      <w:r w:rsidR="001B7310">
        <w:rPr>
          <w:rFonts w:ascii="Arial" w:hAnsi="Arial" w:cs="Arial"/>
        </w:rPr>
        <w:t>,</w:t>
      </w:r>
      <w:r w:rsidR="00114C6F">
        <w:rPr>
          <w:rFonts w:ascii="Arial" w:hAnsi="Arial" w:cs="Arial"/>
        </w:rPr>
        <w:t xml:space="preserve"> </w:t>
      </w:r>
      <w:r w:rsidR="00C411B6">
        <w:rPr>
          <w:rFonts w:ascii="Arial" w:hAnsi="Arial" w:cs="Arial"/>
        </w:rPr>
        <w:t xml:space="preserve">these costs are generally small in relation to amount of the periodic rent payment.  In the case of property taxes, they may be </w:t>
      </w:r>
      <w:r w:rsidR="00427CED">
        <w:rPr>
          <w:rFonts w:ascii="Arial" w:hAnsi="Arial" w:cs="Arial"/>
        </w:rPr>
        <w:t xml:space="preserve">equivalent of </w:t>
      </w:r>
      <w:r w:rsidR="00C411B6">
        <w:rPr>
          <w:rFonts w:ascii="Arial" w:hAnsi="Arial" w:cs="Arial"/>
        </w:rPr>
        <w:t xml:space="preserve">1-2% of the </w:t>
      </w:r>
      <w:r>
        <w:rPr>
          <w:rFonts w:ascii="Arial" w:hAnsi="Arial" w:cs="Arial"/>
        </w:rPr>
        <w:t>rent</w:t>
      </w:r>
      <w:r w:rsidR="00C411B6">
        <w:rPr>
          <w:rFonts w:ascii="Arial" w:hAnsi="Arial" w:cs="Arial"/>
        </w:rPr>
        <w:t xml:space="preserve"> payment.  This leads us to question whether </w:t>
      </w:r>
      <w:r w:rsidR="00427CED">
        <w:rPr>
          <w:rFonts w:ascii="Arial" w:hAnsi="Arial" w:cs="Arial"/>
        </w:rPr>
        <w:t xml:space="preserve">the </w:t>
      </w:r>
      <w:r w:rsidR="00F255AD">
        <w:rPr>
          <w:rFonts w:ascii="Arial" w:hAnsi="Arial" w:cs="Arial"/>
        </w:rPr>
        <w:t xml:space="preserve">detailed analysis required </w:t>
      </w:r>
      <w:r w:rsidR="000C7CD1">
        <w:rPr>
          <w:rFonts w:ascii="Arial" w:hAnsi="Arial" w:cs="Arial"/>
        </w:rPr>
        <w:t xml:space="preserve">to </w:t>
      </w:r>
      <w:r w:rsidR="00166B62">
        <w:rPr>
          <w:rFonts w:ascii="Arial" w:hAnsi="Arial" w:cs="Arial"/>
        </w:rPr>
        <w:t>respond</w:t>
      </w:r>
      <w:r w:rsidR="00F255AD">
        <w:rPr>
          <w:rFonts w:ascii="Arial" w:hAnsi="Arial" w:cs="Arial"/>
        </w:rPr>
        <w:t xml:space="preserve"> to th</w:t>
      </w:r>
      <w:r w:rsidR="00427CED">
        <w:rPr>
          <w:rFonts w:ascii="Arial" w:hAnsi="Arial" w:cs="Arial"/>
        </w:rPr>
        <w:t>is</w:t>
      </w:r>
      <w:r w:rsidR="00F255AD">
        <w:rPr>
          <w:rFonts w:ascii="Arial" w:hAnsi="Arial" w:cs="Arial"/>
        </w:rPr>
        <w:t xml:space="preserve"> question and </w:t>
      </w:r>
      <w:r w:rsidR="000C7CD1">
        <w:rPr>
          <w:rFonts w:ascii="Arial" w:hAnsi="Arial" w:cs="Arial"/>
        </w:rPr>
        <w:t xml:space="preserve">to </w:t>
      </w:r>
      <w:r w:rsidR="00F255AD">
        <w:rPr>
          <w:rFonts w:ascii="Arial" w:hAnsi="Arial" w:cs="Arial"/>
        </w:rPr>
        <w:t xml:space="preserve">review </w:t>
      </w:r>
      <w:r w:rsidR="000C7CD1">
        <w:rPr>
          <w:rFonts w:ascii="Arial" w:hAnsi="Arial" w:cs="Arial"/>
        </w:rPr>
        <w:t>it</w:t>
      </w:r>
      <w:r w:rsidR="00F255AD">
        <w:rPr>
          <w:rFonts w:ascii="Arial" w:hAnsi="Arial" w:cs="Arial"/>
        </w:rPr>
        <w:t xml:space="preserve"> with a company’s auditor is worth the expenditure of time and resources</w:t>
      </w:r>
      <w:r w:rsidR="0048067E">
        <w:rPr>
          <w:rFonts w:ascii="Arial" w:hAnsi="Arial" w:cs="Arial"/>
        </w:rPr>
        <w:t xml:space="preserve"> when the item is clearly immaterial </w:t>
      </w:r>
      <w:r w:rsidR="00E43259">
        <w:rPr>
          <w:rFonts w:ascii="Arial" w:hAnsi="Arial" w:cs="Arial"/>
        </w:rPr>
        <w:t xml:space="preserve">both </w:t>
      </w:r>
      <w:r w:rsidR="0048067E">
        <w:rPr>
          <w:rFonts w:ascii="Arial" w:hAnsi="Arial" w:cs="Arial"/>
        </w:rPr>
        <w:t>individually and in the aggregate</w:t>
      </w:r>
      <w:r w:rsidR="00F255AD">
        <w:rPr>
          <w:rFonts w:ascii="Arial" w:hAnsi="Arial" w:cs="Arial"/>
        </w:rPr>
        <w:t>.</w:t>
      </w:r>
      <w:r w:rsidR="00B520E6">
        <w:rPr>
          <w:rFonts w:ascii="Arial" w:hAnsi="Arial" w:cs="Arial"/>
        </w:rPr>
        <w:t xml:space="preserve">  </w:t>
      </w:r>
      <w:r w:rsidR="00727DFA">
        <w:rPr>
          <w:rFonts w:ascii="Arial" w:hAnsi="Arial" w:cs="Arial"/>
        </w:rPr>
        <w:t xml:space="preserve"> </w:t>
      </w:r>
    </w:p>
    <w:p w:rsidR="003751CD" w:rsidRDefault="003751CD" w:rsidP="00681891">
      <w:pPr>
        <w:rPr>
          <w:rFonts w:ascii="Arial" w:hAnsi="Arial" w:cs="Arial"/>
        </w:rPr>
      </w:pPr>
      <w:r>
        <w:rPr>
          <w:rFonts w:ascii="Arial" w:hAnsi="Arial" w:cs="Arial"/>
        </w:rPr>
        <w:lastRenderedPageBreak/>
        <w:t>In addition to our overa</w:t>
      </w:r>
      <w:r w:rsidR="002A7672">
        <w:rPr>
          <w:rFonts w:ascii="Arial" w:hAnsi="Arial" w:cs="Arial"/>
        </w:rPr>
        <w:t>ll comments on the standard, the following are our responses to the questions for respondents included in the Exposure Draft.</w:t>
      </w:r>
    </w:p>
    <w:p w:rsidR="008B45A3" w:rsidRPr="008B45A3" w:rsidRDefault="008B45A3" w:rsidP="008B45A3">
      <w:pPr>
        <w:pStyle w:val="ListParagraph"/>
        <w:numPr>
          <w:ilvl w:val="0"/>
          <w:numId w:val="14"/>
        </w:numPr>
        <w:rPr>
          <w:rFonts w:ascii="Arial" w:hAnsi="Arial" w:cs="Arial"/>
          <w:b/>
        </w:rPr>
      </w:pPr>
      <w:r w:rsidRPr="008B45A3">
        <w:rPr>
          <w:rFonts w:ascii="Arial" w:hAnsi="Arial" w:cs="Arial"/>
          <w:b/>
        </w:rPr>
        <w:t>Sales Taxes and Other Similar Taxes Collected from Lessees</w:t>
      </w:r>
    </w:p>
    <w:p w:rsidR="002A7672" w:rsidRDefault="002A7672" w:rsidP="00DF37E1">
      <w:pPr>
        <w:spacing w:beforeLines="1" w:before="2" w:afterLines="1" w:after="2" w:line="240" w:lineRule="auto"/>
        <w:rPr>
          <w:rFonts w:ascii="Arial" w:hAnsi="Arial" w:cs="Times New Roman"/>
          <w:b/>
          <w:bCs/>
          <w:szCs w:val="18"/>
        </w:rPr>
      </w:pPr>
    </w:p>
    <w:p w:rsidR="006E3F86" w:rsidRPr="002A7672" w:rsidRDefault="006E3F86" w:rsidP="00DF37E1">
      <w:pPr>
        <w:spacing w:beforeLines="1" w:before="2" w:afterLines="1" w:after="2" w:line="240" w:lineRule="auto"/>
        <w:ind w:left="720"/>
        <w:rPr>
          <w:rFonts w:ascii="Arial" w:hAnsi="Arial" w:cs="Times New Roman"/>
          <w:i/>
          <w:szCs w:val="18"/>
        </w:rPr>
      </w:pPr>
      <w:r w:rsidRPr="002A7672">
        <w:rPr>
          <w:rFonts w:ascii="Arial" w:hAnsi="Arial" w:cs="Times New Roman"/>
          <w:b/>
          <w:bCs/>
          <w:i/>
          <w:szCs w:val="18"/>
        </w:rPr>
        <w:t xml:space="preserve">Question 1: </w:t>
      </w:r>
      <w:r w:rsidRPr="002A7672">
        <w:rPr>
          <w:rFonts w:ascii="Arial" w:hAnsi="Arial" w:cs="Times New Roman"/>
          <w:i/>
          <w:szCs w:val="18"/>
        </w:rPr>
        <w:t xml:space="preserve">Should a lessor’s accounting for sales taxes and other similar taxes collected from lessees be aligned with Topic 606? If not, please explain why. </w:t>
      </w:r>
    </w:p>
    <w:p w:rsidR="002A7672" w:rsidRDefault="002A7672" w:rsidP="00DF37E1">
      <w:pPr>
        <w:spacing w:beforeLines="1" w:before="2" w:afterLines="1" w:after="2" w:line="240" w:lineRule="auto"/>
        <w:ind w:left="720"/>
        <w:rPr>
          <w:rFonts w:ascii="Arial" w:hAnsi="Arial" w:cs="Times New Roman"/>
          <w:szCs w:val="20"/>
        </w:rPr>
      </w:pPr>
    </w:p>
    <w:p w:rsidR="002A7672" w:rsidRPr="002A7672" w:rsidRDefault="002A7672" w:rsidP="00DF37E1">
      <w:pPr>
        <w:spacing w:beforeLines="1" w:before="2" w:afterLines="1" w:after="2" w:line="240" w:lineRule="auto"/>
        <w:ind w:left="1440"/>
        <w:rPr>
          <w:rFonts w:ascii="Arial" w:hAnsi="Arial" w:cs="Times New Roman"/>
          <w:szCs w:val="20"/>
        </w:rPr>
      </w:pPr>
      <w:r>
        <w:rPr>
          <w:rFonts w:ascii="Arial" w:hAnsi="Arial" w:cs="Times New Roman"/>
          <w:szCs w:val="20"/>
        </w:rPr>
        <w:t>We believe the proposed alignment of the accounting for sales and use taxes with Topic 606 is reasonable and eliminates inconsistent treatment that is not necessitated by differences between leases and other revenue transactions.</w:t>
      </w:r>
    </w:p>
    <w:p w:rsidR="006E3F86" w:rsidRPr="002A7672" w:rsidRDefault="006E3F86" w:rsidP="00DF37E1">
      <w:pPr>
        <w:spacing w:beforeLines="1" w:before="2" w:afterLines="1" w:after="2" w:line="240" w:lineRule="auto"/>
        <w:rPr>
          <w:rFonts w:ascii="Arial" w:hAnsi="Arial" w:cs="Times New Roman"/>
          <w:szCs w:val="20"/>
        </w:rPr>
      </w:pPr>
    </w:p>
    <w:p w:rsidR="006E3F86" w:rsidRPr="002A7672" w:rsidRDefault="006E3F86" w:rsidP="00DF37E1">
      <w:pPr>
        <w:spacing w:beforeLines="1" w:before="2" w:afterLines="1" w:after="2" w:line="240" w:lineRule="auto"/>
        <w:ind w:left="720"/>
        <w:rPr>
          <w:rFonts w:ascii="Arial" w:hAnsi="Arial" w:cs="Times New Roman"/>
          <w:i/>
          <w:szCs w:val="18"/>
        </w:rPr>
      </w:pPr>
      <w:r w:rsidRPr="002A7672">
        <w:rPr>
          <w:rFonts w:ascii="Arial" w:hAnsi="Arial" w:cs="Times New Roman"/>
          <w:b/>
          <w:bCs/>
          <w:i/>
          <w:szCs w:val="18"/>
        </w:rPr>
        <w:t xml:space="preserve">Question 2: </w:t>
      </w:r>
      <w:r w:rsidRPr="002A7672">
        <w:rPr>
          <w:rFonts w:ascii="Arial" w:hAnsi="Arial" w:cs="Times New Roman"/>
          <w:i/>
          <w:szCs w:val="18"/>
        </w:rPr>
        <w:t xml:space="preserve">Is the proposed accounting policy election, as written in this proposed Update, operable? If not, please explain why. </w:t>
      </w:r>
    </w:p>
    <w:p w:rsidR="002A7672" w:rsidRDefault="002A7672" w:rsidP="00DF37E1">
      <w:pPr>
        <w:spacing w:beforeLines="1" w:before="2" w:afterLines="1" w:after="2" w:line="240" w:lineRule="auto"/>
        <w:ind w:left="720"/>
        <w:rPr>
          <w:rFonts w:ascii="Arial" w:hAnsi="Arial" w:cs="Times New Roman"/>
          <w:szCs w:val="18"/>
        </w:rPr>
      </w:pPr>
    </w:p>
    <w:p w:rsidR="002A7672" w:rsidRDefault="002A7672" w:rsidP="00DF37E1">
      <w:pPr>
        <w:spacing w:beforeLines="1" w:before="2" w:afterLines="1" w:after="2" w:line="240" w:lineRule="auto"/>
        <w:ind w:left="1440"/>
        <w:rPr>
          <w:rFonts w:ascii="Arial" w:hAnsi="Arial" w:cs="Times New Roman"/>
          <w:szCs w:val="18"/>
        </w:rPr>
      </w:pPr>
      <w:r>
        <w:rPr>
          <w:rFonts w:ascii="Arial" w:hAnsi="Arial" w:cs="Times New Roman"/>
          <w:szCs w:val="18"/>
        </w:rPr>
        <w:t>We believe the proposal is operational, as it is consistent with accounting that exists under Topic 840</w:t>
      </w:r>
      <w:r w:rsidR="00873FFB">
        <w:rPr>
          <w:rFonts w:ascii="Arial" w:hAnsi="Arial" w:cs="Times New Roman"/>
          <w:szCs w:val="18"/>
        </w:rPr>
        <w:t xml:space="preserve"> and it should not require modifications to systems and procedures.</w:t>
      </w:r>
    </w:p>
    <w:p w:rsidR="002A7672" w:rsidRPr="002A7672" w:rsidRDefault="002A7672" w:rsidP="00DF37E1">
      <w:pPr>
        <w:spacing w:beforeLines="1" w:before="2" w:afterLines="1" w:after="2" w:line="240" w:lineRule="auto"/>
        <w:ind w:left="720"/>
        <w:rPr>
          <w:rFonts w:ascii="Arial" w:hAnsi="Arial" w:cs="Times New Roman"/>
          <w:szCs w:val="20"/>
        </w:rPr>
      </w:pPr>
    </w:p>
    <w:p w:rsidR="006E3F86" w:rsidRPr="00873FFB" w:rsidRDefault="006E3F86" w:rsidP="00DF37E1">
      <w:pPr>
        <w:spacing w:beforeLines="1" w:before="2" w:afterLines="1" w:after="2" w:line="240" w:lineRule="auto"/>
        <w:ind w:left="720"/>
        <w:rPr>
          <w:rFonts w:ascii="Arial" w:hAnsi="Arial" w:cs="Times New Roman"/>
          <w:i/>
          <w:szCs w:val="18"/>
        </w:rPr>
      </w:pPr>
      <w:r w:rsidRPr="00873FFB">
        <w:rPr>
          <w:rFonts w:ascii="Arial" w:hAnsi="Arial" w:cs="Times New Roman"/>
          <w:b/>
          <w:bCs/>
          <w:i/>
          <w:szCs w:val="18"/>
        </w:rPr>
        <w:t xml:space="preserve">Question 3: </w:t>
      </w:r>
      <w:r w:rsidRPr="00873FFB">
        <w:rPr>
          <w:rFonts w:ascii="Arial" w:hAnsi="Arial" w:cs="Times New Roman"/>
          <w:i/>
          <w:szCs w:val="18"/>
        </w:rPr>
        <w:t xml:space="preserve">Would the proposed accounting policy election result in a reduction of decision-useful information to users of a lessor’s financial statements? If so, please explain why. </w:t>
      </w:r>
    </w:p>
    <w:p w:rsidR="00873FFB" w:rsidRDefault="00873FFB" w:rsidP="00DF37E1">
      <w:pPr>
        <w:spacing w:beforeLines="1" w:before="2" w:afterLines="1" w:after="2" w:line="240" w:lineRule="auto"/>
        <w:ind w:left="720"/>
        <w:rPr>
          <w:rFonts w:ascii="Arial" w:hAnsi="Arial" w:cs="Times New Roman"/>
          <w:szCs w:val="18"/>
        </w:rPr>
      </w:pPr>
    </w:p>
    <w:p w:rsidR="00873FFB" w:rsidRDefault="00873FFB" w:rsidP="00DF37E1">
      <w:pPr>
        <w:spacing w:beforeLines="1" w:before="2" w:afterLines="1" w:after="2" w:line="240" w:lineRule="auto"/>
        <w:ind w:left="1440"/>
        <w:rPr>
          <w:rFonts w:ascii="Arial" w:hAnsi="Arial" w:cs="Times New Roman"/>
          <w:szCs w:val="18"/>
        </w:rPr>
      </w:pPr>
      <w:r>
        <w:rPr>
          <w:rFonts w:ascii="Arial" w:hAnsi="Arial" w:cs="Times New Roman"/>
          <w:szCs w:val="18"/>
        </w:rPr>
        <w:t>We do not believe the change will impact the usefulness of financial statements, as sales tax receipts and payments are not relevant when evaluating a lessor’s financial performance.</w:t>
      </w:r>
    </w:p>
    <w:p w:rsidR="002A7672" w:rsidRPr="002A7672" w:rsidRDefault="002A7672" w:rsidP="00DF37E1">
      <w:pPr>
        <w:spacing w:beforeLines="1" w:before="2" w:afterLines="1" w:after="2" w:line="240" w:lineRule="auto"/>
        <w:ind w:left="720"/>
        <w:rPr>
          <w:rFonts w:ascii="Arial" w:hAnsi="Arial" w:cs="Times New Roman"/>
          <w:szCs w:val="20"/>
        </w:rPr>
      </w:pPr>
    </w:p>
    <w:p w:rsidR="006E3F86" w:rsidRPr="00873FFB" w:rsidRDefault="006E3F86" w:rsidP="00DF37E1">
      <w:pPr>
        <w:spacing w:beforeLines="1" w:before="2" w:afterLines="1" w:after="2" w:line="240" w:lineRule="auto"/>
        <w:ind w:left="720"/>
        <w:rPr>
          <w:rFonts w:ascii="Arial" w:hAnsi="Arial" w:cs="Times New Roman"/>
          <w:i/>
          <w:szCs w:val="18"/>
        </w:rPr>
      </w:pPr>
      <w:r w:rsidRPr="00873FFB">
        <w:rPr>
          <w:rFonts w:ascii="Arial" w:hAnsi="Arial" w:cs="Times New Roman"/>
          <w:b/>
          <w:bCs/>
          <w:i/>
          <w:szCs w:val="18"/>
        </w:rPr>
        <w:t xml:space="preserve">Question 4: </w:t>
      </w:r>
      <w:r w:rsidRPr="00873FFB">
        <w:rPr>
          <w:rFonts w:ascii="Arial" w:hAnsi="Arial" w:cs="Times New Roman"/>
          <w:i/>
          <w:szCs w:val="18"/>
        </w:rPr>
        <w:t xml:space="preserve">Should a lessor’s accounting policy election for sales taxes and other similar taxes collected from lessees be applied to new lease contracts only or to all existing and new lease contracts? Please explain your rationale. </w:t>
      </w:r>
    </w:p>
    <w:p w:rsidR="00873FFB" w:rsidRDefault="00873FFB" w:rsidP="00DF37E1">
      <w:pPr>
        <w:spacing w:beforeLines="1" w:before="2" w:afterLines="1" w:after="2" w:line="240" w:lineRule="auto"/>
        <w:ind w:left="720"/>
        <w:rPr>
          <w:rFonts w:ascii="Arial" w:hAnsi="Arial" w:cs="Times New Roman"/>
          <w:szCs w:val="18"/>
        </w:rPr>
      </w:pPr>
    </w:p>
    <w:p w:rsidR="00873FFB" w:rsidRDefault="00873FFB" w:rsidP="00DF37E1">
      <w:pPr>
        <w:spacing w:beforeLines="1" w:before="2" w:afterLines="1" w:after="2" w:line="240" w:lineRule="auto"/>
        <w:ind w:left="1440"/>
        <w:rPr>
          <w:rFonts w:ascii="Arial" w:hAnsi="Arial" w:cs="Times New Roman"/>
          <w:szCs w:val="18"/>
        </w:rPr>
      </w:pPr>
      <w:r>
        <w:rPr>
          <w:rFonts w:ascii="Arial" w:hAnsi="Arial" w:cs="Times New Roman"/>
          <w:szCs w:val="18"/>
        </w:rPr>
        <w:t>We believe that most finance lessors and operating lessor</w:t>
      </w:r>
      <w:r w:rsidR="001B7310">
        <w:rPr>
          <w:rFonts w:ascii="Arial" w:hAnsi="Arial" w:cs="Times New Roman"/>
          <w:szCs w:val="18"/>
        </w:rPr>
        <w:t>s</w:t>
      </w:r>
      <w:r>
        <w:rPr>
          <w:rFonts w:ascii="Arial" w:hAnsi="Arial" w:cs="Times New Roman"/>
          <w:szCs w:val="18"/>
        </w:rPr>
        <w:t xml:space="preserve"> already net these receipts and payments.  As a result, we believe application of this approach to all leases w</w:t>
      </w:r>
      <w:r w:rsidR="008B45A3">
        <w:rPr>
          <w:rFonts w:ascii="Arial" w:hAnsi="Arial" w:cs="Times New Roman"/>
          <w:szCs w:val="18"/>
        </w:rPr>
        <w:t>ill</w:t>
      </w:r>
      <w:r>
        <w:rPr>
          <w:rFonts w:ascii="Arial" w:hAnsi="Arial" w:cs="Times New Roman"/>
          <w:szCs w:val="18"/>
        </w:rPr>
        <w:t xml:space="preserve"> not be a burden.  If a lessor was not netting them already, they may need more time to implement the systems necessary to report on this basis.</w:t>
      </w:r>
    </w:p>
    <w:p w:rsidR="002A7672" w:rsidRPr="002A7672" w:rsidRDefault="002A7672" w:rsidP="00DF37E1">
      <w:pPr>
        <w:spacing w:beforeLines="1" w:before="2" w:afterLines="1" w:after="2" w:line="240" w:lineRule="auto"/>
        <w:ind w:left="720"/>
        <w:rPr>
          <w:rFonts w:ascii="Arial" w:hAnsi="Arial" w:cs="Times New Roman"/>
          <w:szCs w:val="20"/>
        </w:rPr>
      </w:pPr>
    </w:p>
    <w:p w:rsidR="006E3F86" w:rsidRPr="00873FFB" w:rsidRDefault="006E3F86" w:rsidP="008B45A3">
      <w:pPr>
        <w:pStyle w:val="ListParagraph"/>
        <w:numPr>
          <w:ilvl w:val="0"/>
          <w:numId w:val="14"/>
        </w:numPr>
        <w:spacing w:beforeLines="1" w:before="2" w:afterLines="1" w:after="2" w:line="240" w:lineRule="auto"/>
        <w:rPr>
          <w:rFonts w:ascii="Arial" w:hAnsi="Arial" w:cs="Times New Roman"/>
          <w:b/>
          <w:szCs w:val="24"/>
        </w:rPr>
      </w:pPr>
      <w:r w:rsidRPr="00873FFB">
        <w:rPr>
          <w:rFonts w:ascii="Arial" w:hAnsi="Arial" w:cs="Times New Roman"/>
          <w:b/>
          <w:szCs w:val="24"/>
        </w:rPr>
        <w:t xml:space="preserve">Certain Lessor Costs Paid Directly by Lessees </w:t>
      </w:r>
    </w:p>
    <w:p w:rsidR="002A7672" w:rsidRPr="002A7672" w:rsidRDefault="002A7672" w:rsidP="00DF37E1">
      <w:pPr>
        <w:spacing w:beforeLines="1" w:before="2" w:afterLines="1" w:after="2" w:line="240" w:lineRule="auto"/>
        <w:rPr>
          <w:rFonts w:ascii="Arial" w:hAnsi="Arial" w:cs="Times New Roman"/>
          <w:szCs w:val="20"/>
        </w:rPr>
      </w:pPr>
    </w:p>
    <w:p w:rsidR="006E3F86" w:rsidRPr="00873FFB" w:rsidRDefault="006E3F86" w:rsidP="00DF37E1">
      <w:pPr>
        <w:spacing w:beforeLines="1" w:before="2" w:afterLines="1" w:after="2" w:line="240" w:lineRule="auto"/>
        <w:ind w:left="720"/>
        <w:rPr>
          <w:rFonts w:ascii="Arial" w:hAnsi="Arial" w:cs="Times New Roman"/>
          <w:i/>
          <w:szCs w:val="18"/>
        </w:rPr>
      </w:pPr>
      <w:r w:rsidRPr="00873FFB">
        <w:rPr>
          <w:rFonts w:ascii="Arial" w:hAnsi="Arial" w:cs="Times New Roman"/>
          <w:b/>
          <w:bCs/>
          <w:i/>
          <w:szCs w:val="18"/>
        </w:rPr>
        <w:t xml:space="preserve">Question 5: </w:t>
      </w:r>
      <w:r w:rsidRPr="00873FFB">
        <w:rPr>
          <w:rFonts w:ascii="Arial" w:hAnsi="Arial" w:cs="Times New Roman"/>
          <w:i/>
          <w:szCs w:val="18"/>
        </w:rPr>
        <w:t xml:space="preserve">Should a lessor be required to exclude certain lessor costs paid directly by lessees to third parties on behalf of a lessor as variable payments when the uncertainty in the amount is not expected to ultimately be resolved? If not, please explain why. </w:t>
      </w:r>
    </w:p>
    <w:p w:rsidR="00873FFB" w:rsidRDefault="00873FFB" w:rsidP="00DF37E1">
      <w:pPr>
        <w:spacing w:beforeLines="1" w:before="2" w:afterLines="1" w:after="2" w:line="240" w:lineRule="auto"/>
        <w:ind w:left="720"/>
        <w:rPr>
          <w:rFonts w:ascii="Arial" w:hAnsi="Arial" w:cs="Times New Roman"/>
          <w:szCs w:val="18"/>
        </w:rPr>
      </w:pPr>
    </w:p>
    <w:p w:rsidR="00BC5FCA" w:rsidRDefault="008B2581" w:rsidP="00DF37E1">
      <w:pPr>
        <w:spacing w:beforeLines="1" w:before="2" w:afterLines="1" w:after="2" w:line="240" w:lineRule="auto"/>
        <w:ind w:left="1440"/>
        <w:rPr>
          <w:rFonts w:ascii="Arial" w:hAnsi="Arial" w:cs="Times New Roman"/>
          <w:szCs w:val="18"/>
        </w:rPr>
      </w:pPr>
      <w:r>
        <w:rPr>
          <w:rFonts w:ascii="Arial" w:hAnsi="Arial" w:cs="Times New Roman"/>
          <w:szCs w:val="18"/>
        </w:rPr>
        <w:t>As detailed earlier in this comment letter, we believe lessors should exclude these costs</w:t>
      </w:r>
      <w:r w:rsidR="001B7310">
        <w:rPr>
          <w:rFonts w:ascii="Arial" w:hAnsi="Arial" w:cs="Times New Roman"/>
          <w:szCs w:val="18"/>
        </w:rPr>
        <w:t>,</w:t>
      </w:r>
      <w:r>
        <w:rPr>
          <w:rFonts w:ascii="Arial" w:hAnsi="Arial" w:cs="Times New Roman"/>
          <w:szCs w:val="18"/>
        </w:rPr>
        <w:t xml:space="preserve"> and in many circumstance</w:t>
      </w:r>
      <w:r w:rsidR="00061807">
        <w:rPr>
          <w:rFonts w:ascii="Arial" w:hAnsi="Arial" w:cs="Times New Roman"/>
          <w:szCs w:val="18"/>
        </w:rPr>
        <w:t>s</w:t>
      </w:r>
      <w:r>
        <w:rPr>
          <w:rFonts w:ascii="Arial" w:hAnsi="Arial" w:cs="Times New Roman"/>
          <w:szCs w:val="18"/>
        </w:rPr>
        <w:t xml:space="preserve"> net receipts and expenditures related to these items even when they are paid by the lessor</w:t>
      </w:r>
      <w:r w:rsidR="00BC5FCA">
        <w:rPr>
          <w:rFonts w:ascii="Arial" w:hAnsi="Arial" w:cs="Times New Roman"/>
          <w:szCs w:val="18"/>
        </w:rPr>
        <w:t xml:space="preserve"> and reimbursed by the lessee</w:t>
      </w:r>
      <w:r>
        <w:rPr>
          <w:rFonts w:ascii="Arial" w:hAnsi="Arial" w:cs="Times New Roman"/>
          <w:szCs w:val="18"/>
        </w:rPr>
        <w:t>.</w:t>
      </w:r>
      <w:r w:rsidR="00BC5FCA">
        <w:rPr>
          <w:rFonts w:ascii="Arial" w:hAnsi="Arial" w:cs="Times New Roman"/>
          <w:szCs w:val="18"/>
        </w:rPr>
        <w:t xml:space="preserve">  With regards to the lessee reimbursed costs, we believe:</w:t>
      </w:r>
    </w:p>
    <w:p w:rsidR="00BC5FCA" w:rsidRDefault="00BC5FCA" w:rsidP="00DF37E1">
      <w:pPr>
        <w:spacing w:beforeLines="1" w:before="2" w:afterLines="1" w:after="2" w:line="240" w:lineRule="auto"/>
        <w:ind w:left="1440"/>
        <w:rPr>
          <w:rFonts w:ascii="Arial" w:hAnsi="Arial" w:cs="Times New Roman"/>
          <w:szCs w:val="18"/>
        </w:rPr>
      </w:pPr>
    </w:p>
    <w:p w:rsidR="00BC5FCA" w:rsidRDefault="00BC5FCA" w:rsidP="00DF37E1">
      <w:pPr>
        <w:pStyle w:val="ListParagraph"/>
        <w:numPr>
          <w:ilvl w:val="0"/>
          <w:numId w:val="13"/>
        </w:numPr>
        <w:spacing w:beforeLines="1" w:before="2" w:afterLines="1" w:after="2" w:line="240" w:lineRule="auto"/>
        <w:rPr>
          <w:rFonts w:ascii="Arial" w:hAnsi="Arial" w:cs="Times New Roman"/>
          <w:szCs w:val="18"/>
        </w:rPr>
      </w:pPr>
      <w:r>
        <w:rPr>
          <w:rFonts w:ascii="Arial" w:hAnsi="Arial" w:cs="Times New Roman"/>
          <w:szCs w:val="18"/>
        </w:rPr>
        <w:t>There remain questions about whether these are lessor costs,</w:t>
      </w:r>
    </w:p>
    <w:p w:rsidR="00BC5FCA" w:rsidRDefault="00BC5FCA" w:rsidP="00DF37E1">
      <w:pPr>
        <w:pStyle w:val="ListParagraph"/>
        <w:numPr>
          <w:ilvl w:val="0"/>
          <w:numId w:val="13"/>
        </w:numPr>
        <w:spacing w:beforeLines="1" w:before="2" w:afterLines="1" w:after="2" w:line="240" w:lineRule="auto"/>
        <w:rPr>
          <w:rFonts w:ascii="Arial" w:hAnsi="Arial" w:cs="Times New Roman"/>
          <w:szCs w:val="18"/>
        </w:rPr>
      </w:pPr>
      <w:r>
        <w:rPr>
          <w:rFonts w:ascii="Arial" w:hAnsi="Arial" w:cs="Times New Roman"/>
          <w:szCs w:val="18"/>
        </w:rPr>
        <w:t>The amounts involved are not significant, and</w:t>
      </w:r>
    </w:p>
    <w:p w:rsidR="00873FFB" w:rsidRPr="00BC5FCA" w:rsidRDefault="00BC5FCA" w:rsidP="00DF37E1">
      <w:pPr>
        <w:pStyle w:val="ListParagraph"/>
        <w:numPr>
          <w:ilvl w:val="0"/>
          <w:numId w:val="13"/>
        </w:numPr>
        <w:spacing w:beforeLines="1" w:before="2" w:afterLines="1" w:after="2" w:line="240" w:lineRule="auto"/>
        <w:rPr>
          <w:rFonts w:ascii="Arial" w:hAnsi="Arial" w:cs="Times New Roman"/>
          <w:szCs w:val="18"/>
        </w:rPr>
      </w:pPr>
      <w:r>
        <w:rPr>
          <w:rFonts w:ascii="Arial" w:hAnsi="Arial" w:cs="Times New Roman"/>
          <w:szCs w:val="18"/>
        </w:rPr>
        <w:lastRenderedPageBreak/>
        <w:t>The effort involved in changing systems to accommodate the proposed approach exceed any benefit that would be achieved as the amounts involved are, again, not significant.</w:t>
      </w:r>
    </w:p>
    <w:p w:rsidR="002A7672" w:rsidRPr="002A7672" w:rsidRDefault="002A7672" w:rsidP="00DF37E1">
      <w:pPr>
        <w:spacing w:beforeLines="1" w:before="2" w:afterLines="1" w:after="2" w:line="240" w:lineRule="auto"/>
        <w:rPr>
          <w:rFonts w:ascii="Arial" w:hAnsi="Arial" w:cs="Times New Roman"/>
          <w:szCs w:val="20"/>
        </w:rPr>
      </w:pPr>
    </w:p>
    <w:p w:rsidR="006E3F86" w:rsidRPr="008B2581" w:rsidRDefault="006E3F86" w:rsidP="00DF37E1">
      <w:pPr>
        <w:spacing w:beforeLines="1" w:before="2" w:afterLines="1" w:after="2" w:line="240" w:lineRule="auto"/>
        <w:ind w:left="720"/>
        <w:rPr>
          <w:rFonts w:ascii="Arial" w:hAnsi="Arial" w:cs="Times New Roman"/>
          <w:i/>
          <w:szCs w:val="18"/>
        </w:rPr>
      </w:pPr>
      <w:r w:rsidRPr="008B2581">
        <w:rPr>
          <w:rFonts w:ascii="Arial" w:hAnsi="Arial" w:cs="Times New Roman"/>
          <w:b/>
          <w:bCs/>
          <w:i/>
          <w:szCs w:val="18"/>
        </w:rPr>
        <w:t xml:space="preserve">Question 6: </w:t>
      </w:r>
      <w:r w:rsidRPr="008B2581">
        <w:rPr>
          <w:rFonts w:ascii="Arial" w:hAnsi="Arial" w:cs="Times New Roman"/>
          <w:i/>
          <w:szCs w:val="18"/>
        </w:rPr>
        <w:t xml:space="preserve">Are the proposed amendments for the accounting for certain lessor costs operable? If not, please explain why. </w:t>
      </w:r>
    </w:p>
    <w:p w:rsidR="008B2581" w:rsidRDefault="008B2581" w:rsidP="00DF37E1">
      <w:pPr>
        <w:spacing w:beforeLines="1" w:before="2" w:afterLines="1" w:after="2" w:line="240" w:lineRule="auto"/>
        <w:ind w:left="720"/>
        <w:rPr>
          <w:rFonts w:ascii="Arial" w:hAnsi="Arial" w:cs="Times New Roman"/>
          <w:szCs w:val="18"/>
        </w:rPr>
      </w:pPr>
    </w:p>
    <w:p w:rsidR="008B2581" w:rsidRDefault="008B2581" w:rsidP="00DF37E1">
      <w:pPr>
        <w:spacing w:beforeLines="1" w:before="2" w:afterLines="1" w:after="2" w:line="240" w:lineRule="auto"/>
        <w:ind w:left="1440"/>
        <w:rPr>
          <w:rFonts w:ascii="Arial" w:hAnsi="Arial" w:cs="Times New Roman"/>
          <w:szCs w:val="18"/>
        </w:rPr>
      </w:pPr>
      <w:r>
        <w:rPr>
          <w:rFonts w:ascii="Arial" w:hAnsi="Arial" w:cs="Times New Roman"/>
          <w:szCs w:val="18"/>
        </w:rPr>
        <w:t xml:space="preserve">The proposal is operational with regards to lessee paid insurance costs, but we are concerned the “determinable” standard may be narrowly </w:t>
      </w:r>
      <w:r w:rsidR="00061807">
        <w:rPr>
          <w:rFonts w:ascii="Arial" w:hAnsi="Arial" w:cs="Times New Roman"/>
          <w:szCs w:val="18"/>
        </w:rPr>
        <w:t>applied</w:t>
      </w:r>
      <w:r w:rsidR="001B7310">
        <w:rPr>
          <w:rFonts w:ascii="Arial" w:hAnsi="Arial" w:cs="Times New Roman"/>
          <w:szCs w:val="18"/>
        </w:rPr>
        <w:t>,</w:t>
      </w:r>
      <w:r w:rsidR="00061807">
        <w:rPr>
          <w:rFonts w:ascii="Arial" w:hAnsi="Arial" w:cs="Times New Roman"/>
          <w:szCs w:val="18"/>
        </w:rPr>
        <w:t xml:space="preserve"> </w:t>
      </w:r>
      <w:r>
        <w:rPr>
          <w:rFonts w:ascii="Arial" w:hAnsi="Arial" w:cs="Times New Roman"/>
          <w:szCs w:val="18"/>
        </w:rPr>
        <w:t xml:space="preserve">which may reduce the benefit that might have been envisioned.  We suggest that a final standard </w:t>
      </w:r>
      <w:r w:rsidR="002D204C">
        <w:rPr>
          <w:rFonts w:ascii="Arial" w:hAnsi="Arial" w:cs="Times New Roman"/>
          <w:szCs w:val="18"/>
        </w:rPr>
        <w:t>include in the basis for conclusions additional language that would indicate more precisely what it intended under this standard.  We assume the Board did not intend for compan</w:t>
      </w:r>
      <w:r w:rsidR="001B7310">
        <w:rPr>
          <w:rFonts w:ascii="Arial" w:hAnsi="Arial" w:cs="Times New Roman"/>
          <w:szCs w:val="18"/>
        </w:rPr>
        <w:t>ies</w:t>
      </w:r>
      <w:r w:rsidR="002D204C">
        <w:rPr>
          <w:rFonts w:ascii="Arial" w:hAnsi="Arial" w:cs="Times New Roman"/>
          <w:szCs w:val="18"/>
        </w:rPr>
        <w:t xml:space="preserve"> to have to search electronic or analog data base</w:t>
      </w:r>
      <w:r w:rsidR="001B7310">
        <w:rPr>
          <w:rFonts w:ascii="Arial" w:hAnsi="Arial" w:cs="Times New Roman"/>
          <w:szCs w:val="18"/>
        </w:rPr>
        <w:t>s</w:t>
      </w:r>
      <w:r w:rsidR="002D204C">
        <w:rPr>
          <w:rFonts w:ascii="Arial" w:hAnsi="Arial" w:cs="Times New Roman"/>
          <w:szCs w:val="18"/>
        </w:rPr>
        <w:t xml:space="preserve"> in search of this information.</w:t>
      </w:r>
    </w:p>
    <w:p w:rsidR="002A7672" w:rsidRPr="002A7672" w:rsidRDefault="002A7672" w:rsidP="00DF37E1">
      <w:pPr>
        <w:spacing w:beforeLines="1" w:before="2" w:afterLines="1" w:after="2" w:line="240" w:lineRule="auto"/>
        <w:rPr>
          <w:rFonts w:ascii="Arial" w:hAnsi="Arial" w:cs="Times New Roman"/>
          <w:szCs w:val="20"/>
        </w:rPr>
      </w:pPr>
    </w:p>
    <w:p w:rsidR="002A7672" w:rsidRPr="002D204C" w:rsidRDefault="006E3F86" w:rsidP="00DF37E1">
      <w:pPr>
        <w:spacing w:beforeLines="1" w:before="2" w:afterLines="1" w:after="2" w:line="240" w:lineRule="auto"/>
        <w:ind w:left="720"/>
        <w:rPr>
          <w:rFonts w:ascii="Arial" w:hAnsi="Arial" w:cs="Times New Roman"/>
          <w:i/>
          <w:szCs w:val="18"/>
        </w:rPr>
      </w:pPr>
      <w:r w:rsidRPr="002D204C">
        <w:rPr>
          <w:rFonts w:ascii="Arial" w:hAnsi="Arial" w:cs="Times New Roman"/>
          <w:b/>
          <w:bCs/>
          <w:i/>
          <w:szCs w:val="18"/>
        </w:rPr>
        <w:t xml:space="preserve">Question 7: </w:t>
      </w:r>
      <w:r w:rsidRPr="002D204C">
        <w:rPr>
          <w:rFonts w:ascii="Arial" w:hAnsi="Arial" w:cs="Times New Roman"/>
          <w:i/>
          <w:szCs w:val="18"/>
        </w:rPr>
        <w:t>Would the proposed requirement for a lessor to not report certain lessor costs paid directly by a lessee to a third party on behalf of the lessor result in a reduction of decision-useful information to users of a lessor’s financial statements? If so, please explain why.</w:t>
      </w:r>
    </w:p>
    <w:p w:rsidR="002D204C" w:rsidRDefault="002D204C" w:rsidP="00DF37E1">
      <w:pPr>
        <w:spacing w:beforeLines="1" w:before="2" w:afterLines="1" w:after="2" w:line="240" w:lineRule="auto"/>
        <w:ind w:left="720"/>
        <w:rPr>
          <w:rFonts w:ascii="Arial" w:hAnsi="Arial" w:cs="Times New Roman"/>
          <w:szCs w:val="18"/>
        </w:rPr>
      </w:pPr>
    </w:p>
    <w:p w:rsidR="002D204C" w:rsidRDefault="006D3F65" w:rsidP="00DF37E1">
      <w:pPr>
        <w:spacing w:beforeLines="1" w:before="2" w:afterLines="1" w:after="2" w:line="240" w:lineRule="auto"/>
        <w:ind w:left="1440"/>
        <w:rPr>
          <w:rFonts w:ascii="Arial" w:hAnsi="Arial" w:cs="Times New Roman"/>
          <w:szCs w:val="18"/>
        </w:rPr>
      </w:pPr>
      <w:r>
        <w:rPr>
          <w:rFonts w:ascii="Arial" w:hAnsi="Arial" w:cs="Times New Roman"/>
          <w:szCs w:val="18"/>
        </w:rPr>
        <w:t xml:space="preserve">We do not believe these costs are relevant to a review of a lessor’s performance, and are not significant.  In equipment leases, property taxes are likely only </w:t>
      </w:r>
      <w:r w:rsidR="00457943">
        <w:rPr>
          <w:rFonts w:ascii="Arial" w:hAnsi="Arial" w:cs="Times New Roman"/>
          <w:szCs w:val="18"/>
        </w:rPr>
        <w:t xml:space="preserve">the equivalent of </w:t>
      </w:r>
      <w:r>
        <w:rPr>
          <w:rFonts w:ascii="Arial" w:hAnsi="Arial" w:cs="Times New Roman"/>
          <w:szCs w:val="18"/>
        </w:rPr>
        <w:t xml:space="preserve">1-2% of </w:t>
      </w:r>
      <w:r w:rsidR="00457943">
        <w:rPr>
          <w:rFonts w:ascii="Arial" w:hAnsi="Arial" w:cs="Times New Roman"/>
          <w:szCs w:val="18"/>
        </w:rPr>
        <w:t xml:space="preserve">rent </w:t>
      </w:r>
      <w:r>
        <w:rPr>
          <w:rFonts w:ascii="Arial" w:hAnsi="Arial" w:cs="Times New Roman"/>
          <w:szCs w:val="18"/>
        </w:rPr>
        <w:t>payments.  We also believe that inclusion of these items in a lessor’s income statement on a gross basis will distort key performance indicators</w:t>
      </w:r>
      <w:r w:rsidR="008B45A3">
        <w:rPr>
          <w:rFonts w:ascii="Arial" w:hAnsi="Arial" w:cs="Times New Roman"/>
          <w:szCs w:val="18"/>
        </w:rPr>
        <w:t>, albeit to a limited extent</w:t>
      </w:r>
      <w:r>
        <w:rPr>
          <w:rFonts w:ascii="Arial" w:hAnsi="Arial" w:cs="Times New Roman"/>
          <w:szCs w:val="18"/>
        </w:rPr>
        <w:t>.</w:t>
      </w:r>
    </w:p>
    <w:p w:rsidR="006E3F86" w:rsidRPr="002A7672" w:rsidRDefault="006E3F86" w:rsidP="00DF37E1">
      <w:pPr>
        <w:spacing w:beforeLines="1" w:before="2" w:afterLines="1" w:after="2" w:line="240" w:lineRule="auto"/>
        <w:rPr>
          <w:rFonts w:ascii="Arial" w:hAnsi="Arial" w:cs="Times New Roman"/>
          <w:szCs w:val="20"/>
        </w:rPr>
      </w:pPr>
      <w:r w:rsidRPr="002A7672">
        <w:rPr>
          <w:rFonts w:ascii="Arial" w:hAnsi="Arial" w:cs="Times New Roman"/>
          <w:szCs w:val="18"/>
        </w:rPr>
        <w:t xml:space="preserve"> </w:t>
      </w:r>
    </w:p>
    <w:p w:rsidR="006E3F86" w:rsidRPr="006D3F65" w:rsidRDefault="006E3F86" w:rsidP="00DF37E1">
      <w:pPr>
        <w:spacing w:beforeLines="1" w:before="2" w:afterLines="1" w:after="2" w:line="240" w:lineRule="auto"/>
        <w:ind w:left="720"/>
        <w:rPr>
          <w:rFonts w:ascii="Arial" w:hAnsi="Arial" w:cs="Times New Roman"/>
          <w:i/>
          <w:szCs w:val="18"/>
        </w:rPr>
      </w:pPr>
      <w:r w:rsidRPr="006D3F65">
        <w:rPr>
          <w:rFonts w:ascii="Arial" w:hAnsi="Arial" w:cs="Times New Roman"/>
          <w:b/>
          <w:bCs/>
          <w:i/>
          <w:szCs w:val="18"/>
        </w:rPr>
        <w:t xml:space="preserve">Question 8: </w:t>
      </w:r>
      <w:r w:rsidRPr="006D3F65">
        <w:rPr>
          <w:rFonts w:ascii="Arial" w:hAnsi="Arial" w:cs="Times New Roman"/>
          <w:i/>
          <w:szCs w:val="18"/>
        </w:rPr>
        <w:t xml:space="preserve">Should the proposed amendment in paragraph 842-10-15-40A to exclude certain lessor costs paid directly by lessees on behalf of a lessor as variable payments be applied to new lease contracts only or to all existing and new lease contracts? Please explain your rationale. </w:t>
      </w:r>
    </w:p>
    <w:p w:rsidR="006D3F65" w:rsidRDefault="006D3F65" w:rsidP="00DF37E1">
      <w:pPr>
        <w:spacing w:beforeLines="1" w:before="2" w:afterLines="1" w:after="2" w:line="240" w:lineRule="auto"/>
        <w:ind w:left="720"/>
        <w:rPr>
          <w:rFonts w:ascii="Arial" w:hAnsi="Arial" w:cs="Times New Roman"/>
          <w:szCs w:val="18"/>
        </w:rPr>
      </w:pPr>
    </w:p>
    <w:p w:rsidR="006D3F65" w:rsidRDefault="006D3F65" w:rsidP="00DF37E1">
      <w:pPr>
        <w:spacing w:beforeLines="1" w:before="2" w:afterLines="1" w:after="2" w:line="240" w:lineRule="auto"/>
        <w:ind w:left="1440"/>
        <w:rPr>
          <w:rFonts w:ascii="Arial" w:hAnsi="Arial" w:cs="Times New Roman"/>
          <w:szCs w:val="18"/>
        </w:rPr>
      </w:pPr>
      <w:r>
        <w:rPr>
          <w:rFonts w:ascii="Arial" w:hAnsi="Arial" w:cs="Times New Roman"/>
          <w:szCs w:val="18"/>
        </w:rPr>
        <w:t xml:space="preserve">If the proposal is adopted as is, we believe it should only be applied to new lease </w:t>
      </w:r>
      <w:r w:rsidR="008C684F">
        <w:rPr>
          <w:rFonts w:ascii="Arial" w:hAnsi="Arial" w:cs="Times New Roman"/>
          <w:szCs w:val="18"/>
        </w:rPr>
        <w:t>contracts,</w:t>
      </w:r>
      <w:r>
        <w:rPr>
          <w:rFonts w:ascii="Arial" w:hAnsi="Arial" w:cs="Times New Roman"/>
          <w:szCs w:val="18"/>
        </w:rPr>
        <w:t xml:space="preserve"> as companies do not have the processes and systems in place to account for these payments.</w:t>
      </w:r>
    </w:p>
    <w:p w:rsidR="002A7672" w:rsidRPr="002A7672" w:rsidRDefault="002A7672" w:rsidP="00DF37E1">
      <w:pPr>
        <w:spacing w:beforeLines="1" w:before="2" w:afterLines="1" w:after="2" w:line="240" w:lineRule="auto"/>
        <w:rPr>
          <w:rFonts w:ascii="Arial" w:hAnsi="Arial" w:cs="Times New Roman"/>
          <w:szCs w:val="20"/>
        </w:rPr>
      </w:pPr>
    </w:p>
    <w:p w:rsidR="006E3F86" w:rsidRPr="008B45A3" w:rsidRDefault="006E3F86" w:rsidP="008B45A3">
      <w:pPr>
        <w:pStyle w:val="ListParagraph"/>
        <w:numPr>
          <w:ilvl w:val="0"/>
          <w:numId w:val="14"/>
        </w:numPr>
        <w:spacing w:beforeLines="1" w:before="2" w:afterLines="1" w:after="2" w:line="240" w:lineRule="auto"/>
        <w:rPr>
          <w:rFonts w:ascii="Arial" w:hAnsi="Arial" w:cs="Times New Roman"/>
          <w:b/>
          <w:szCs w:val="24"/>
        </w:rPr>
      </w:pPr>
      <w:r w:rsidRPr="008B45A3">
        <w:rPr>
          <w:rFonts w:ascii="Arial" w:hAnsi="Arial" w:cs="Times New Roman"/>
          <w:b/>
          <w:szCs w:val="24"/>
        </w:rPr>
        <w:t xml:space="preserve">Recognition of Variable Payments for Contracts with Lease and Nonlease Components </w:t>
      </w:r>
    </w:p>
    <w:p w:rsidR="002A7672" w:rsidRPr="002A7672" w:rsidRDefault="002A7672" w:rsidP="00DF37E1">
      <w:pPr>
        <w:spacing w:beforeLines="1" w:before="2" w:afterLines="1" w:after="2" w:line="240" w:lineRule="auto"/>
        <w:rPr>
          <w:rFonts w:ascii="Arial" w:hAnsi="Arial" w:cs="Times New Roman"/>
          <w:szCs w:val="20"/>
        </w:rPr>
      </w:pPr>
    </w:p>
    <w:p w:rsidR="006E3F86" w:rsidRPr="00C5139F" w:rsidRDefault="006E3F86" w:rsidP="00DF37E1">
      <w:pPr>
        <w:spacing w:beforeLines="1" w:before="2" w:afterLines="1" w:after="2" w:line="240" w:lineRule="auto"/>
        <w:ind w:left="720"/>
        <w:rPr>
          <w:rFonts w:ascii="Arial" w:hAnsi="Arial" w:cs="Times New Roman"/>
          <w:i/>
          <w:szCs w:val="18"/>
        </w:rPr>
      </w:pPr>
      <w:r w:rsidRPr="00C5139F">
        <w:rPr>
          <w:rFonts w:ascii="Arial" w:hAnsi="Arial" w:cs="Times New Roman"/>
          <w:b/>
          <w:bCs/>
          <w:i/>
          <w:szCs w:val="18"/>
        </w:rPr>
        <w:t xml:space="preserve">Question 9: </w:t>
      </w:r>
      <w:r w:rsidRPr="00C5139F">
        <w:rPr>
          <w:rFonts w:ascii="Arial" w:hAnsi="Arial" w:cs="Times New Roman"/>
          <w:i/>
          <w:szCs w:val="18"/>
        </w:rPr>
        <w:t xml:space="preserve">Would the proposed amendments clarify the application of paragraph 842-10-15-40? If not, please explain why. </w:t>
      </w:r>
    </w:p>
    <w:p w:rsidR="00C5139F" w:rsidRDefault="00C5139F" w:rsidP="00DF37E1">
      <w:pPr>
        <w:spacing w:beforeLines="1" w:before="2" w:afterLines="1" w:after="2" w:line="240" w:lineRule="auto"/>
        <w:ind w:left="720"/>
        <w:rPr>
          <w:rFonts w:ascii="Arial" w:hAnsi="Arial" w:cs="Times New Roman"/>
          <w:szCs w:val="18"/>
        </w:rPr>
      </w:pPr>
    </w:p>
    <w:p w:rsidR="00C5139F" w:rsidRDefault="00C5139F" w:rsidP="00DF37E1">
      <w:pPr>
        <w:spacing w:beforeLines="1" w:before="2" w:afterLines="1" w:after="2" w:line="240" w:lineRule="auto"/>
        <w:ind w:left="1440"/>
        <w:rPr>
          <w:rFonts w:ascii="Arial" w:hAnsi="Arial" w:cs="Times New Roman"/>
          <w:szCs w:val="18"/>
        </w:rPr>
      </w:pPr>
      <w:r>
        <w:rPr>
          <w:rFonts w:ascii="Arial" w:hAnsi="Arial" w:cs="Times New Roman"/>
          <w:szCs w:val="18"/>
        </w:rPr>
        <w:t>We believe the proposed amendments are reasonable.</w:t>
      </w:r>
    </w:p>
    <w:p w:rsidR="002A7672" w:rsidRPr="002A7672" w:rsidRDefault="002A7672" w:rsidP="00DF37E1">
      <w:pPr>
        <w:spacing w:beforeLines="1" w:before="2" w:afterLines="1" w:after="2" w:line="240" w:lineRule="auto"/>
        <w:rPr>
          <w:rFonts w:ascii="Arial" w:hAnsi="Arial" w:cs="Times New Roman"/>
          <w:szCs w:val="20"/>
        </w:rPr>
      </w:pPr>
    </w:p>
    <w:p w:rsidR="006E3F86" w:rsidRPr="00C5139F" w:rsidRDefault="006E3F86" w:rsidP="00DF37E1">
      <w:pPr>
        <w:spacing w:beforeLines="1" w:before="2" w:afterLines="1" w:after="2" w:line="240" w:lineRule="auto"/>
        <w:ind w:left="720"/>
        <w:rPr>
          <w:rFonts w:ascii="Arial" w:hAnsi="Arial" w:cs="Times New Roman"/>
          <w:i/>
          <w:szCs w:val="18"/>
        </w:rPr>
      </w:pPr>
      <w:r w:rsidRPr="00C5139F">
        <w:rPr>
          <w:rFonts w:ascii="Arial" w:hAnsi="Arial" w:cs="Times New Roman"/>
          <w:b/>
          <w:bCs/>
          <w:i/>
          <w:szCs w:val="18"/>
        </w:rPr>
        <w:t xml:space="preserve">Question 10: </w:t>
      </w:r>
      <w:r w:rsidRPr="00C5139F">
        <w:rPr>
          <w:rFonts w:ascii="Arial" w:hAnsi="Arial" w:cs="Times New Roman"/>
          <w:i/>
          <w:szCs w:val="18"/>
        </w:rPr>
        <w:t xml:space="preserve">Are the proposed amendments for the accounting for certain variable payments for contracts with lease and nonlease components operable? If not, please explain why. </w:t>
      </w:r>
    </w:p>
    <w:p w:rsidR="00C5139F" w:rsidRDefault="00C5139F" w:rsidP="00DF37E1">
      <w:pPr>
        <w:spacing w:beforeLines="1" w:before="2" w:afterLines="1" w:after="2" w:line="240" w:lineRule="auto"/>
        <w:ind w:left="720"/>
        <w:rPr>
          <w:rFonts w:ascii="Arial" w:hAnsi="Arial" w:cs="Times New Roman"/>
          <w:szCs w:val="18"/>
        </w:rPr>
      </w:pPr>
    </w:p>
    <w:p w:rsidR="00C5139F" w:rsidRDefault="00C5139F" w:rsidP="00DF37E1">
      <w:pPr>
        <w:spacing w:beforeLines="1" w:before="2" w:afterLines="1" w:after="2" w:line="240" w:lineRule="auto"/>
        <w:ind w:left="1440"/>
        <w:rPr>
          <w:rFonts w:ascii="Arial" w:hAnsi="Arial" w:cs="Times New Roman"/>
          <w:szCs w:val="18"/>
        </w:rPr>
      </w:pPr>
      <w:r>
        <w:rPr>
          <w:rFonts w:ascii="Arial" w:hAnsi="Arial" w:cs="Times New Roman"/>
          <w:szCs w:val="18"/>
        </w:rPr>
        <w:t xml:space="preserve">We believe the proposals are operational, but our membership </w:t>
      </w:r>
      <w:r w:rsidR="00C34D39">
        <w:rPr>
          <w:rFonts w:ascii="Arial" w:hAnsi="Arial" w:cs="Times New Roman"/>
          <w:szCs w:val="18"/>
        </w:rPr>
        <w:t>does not have experience with transactions that would be within the scope of this proposal.</w:t>
      </w:r>
    </w:p>
    <w:p w:rsidR="00E45282" w:rsidRDefault="00E45282" w:rsidP="00DF37E1">
      <w:pPr>
        <w:spacing w:beforeLines="1" w:before="2" w:afterLines="1" w:after="2" w:line="240" w:lineRule="auto"/>
        <w:ind w:left="1440"/>
        <w:rPr>
          <w:rFonts w:ascii="Arial" w:hAnsi="Arial" w:cs="Times New Roman"/>
          <w:szCs w:val="18"/>
        </w:rPr>
      </w:pPr>
    </w:p>
    <w:p w:rsidR="002A7672" w:rsidRPr="002A7672" w:rsidRDefault="002A7672" w:rsidP="00DF37E1">
      <w:pPr>
        <w:spacing w:beforeLines="1" w:before="2" w:afterLines="1" w:after="2" w:line="240" w:lineRule="auto"/>
        <w:rPr>
          <w:rFonts w:ascii="Arial" w:hAnsi="Arial" w:cs="Times New Roman"/>
          <w:szCs w:val="20"/>
        </w:rPr>
      </w:pPr>
    </w:p>
    <w:p w:rsidR="006E3F86" w:rsidRPr="00C5139F" w:rsidRDefault="006E3F86" w:rsidP="008B45A3">
      <w:pPr>
        <w:pStyle w:val="ListParagraph"/>
        <w:numPr>
          <w:ilvl w:val="0"/>
          <w:numId w:val="14"/>
        </w:numPr>
        <w:spacing w:beforeLines="1" w:before="2" w:afterLines="1" w:after="2" w:line="240" w:lineRule="auto"/>
        <w:rPr>
          <w:rFonts w:ascii="Arial" w:hAnsi="Arial" w:cs="Times New Roman"/>
          <w:b/>
          <w:szCs w:val="24"/>
        </w:rPr>
      </w:pPr>
      <w:r w:rsidRPr="00C5139F">
        <w:rPr>
          <w:rFonts w:ascii="Arial" w:hAnsi="Arial" w:cs="Times New Roman"/>
          <w:b/>
          <w:szCs w:val="24"/>
        </w:rPr>
        <w:lastRenderedPageBreak/>
        <w:t xml:space="preserve">Transition and Effective Date for Early Adopters </w:t>
      </w:r>
    </w:p>
    <w:p w:rsidR="002A7672" w:rsidRPr="002A7672" w:rsidRDefault="002A7672" w:rsidP="00DF37E1">
      <w:pPr>
        <w:spacing w:beforeLines="1" w:before="2" w:afterLines="1" w:after="2" w:line="240" w:lineRule="auto"/>
        <w:rPr>
          <w:rFonts w:ascii="Arial" w:hAnsi="Arial" w:cs="Times New Roman"/>
          <w:szCs w:val="20"/>
        </w:rPr>
      </w:pPr>
    </w:p>
    <w:p w:rsidR="006E3F86" w:rsidRPr="00C34D39" w:rsidRDefault="006E3F86" w:rsidP="00DF37E1">
      <w:pPr>
        <w:spacing w:beforeLines="1" w:before="2" w:afterLines="1" w:after="2" w:line="240" w:lineRule="auto"/>
        <w:ind w:left="720"/>
        <w:rPr>
          <w:rFonts w:ascii="Arial" w:hAnsi="Arial" w:cs="Times New Roman"/>
          <w:i/>
          <w:szCs w:val="18"/>
        </w:rPr>
      </w:pPr>
      <w:r w:rsidRPr="00C34D39">
        <w:rPr>
          <w:rFonts w:ascii="Arial" w:hAnsi="Arial" w:cs="Times New Roman"/>
          <w:b/>
          <w:bCs/>
          <w:i/>
          <w:szCs w:val="18"/>
        </w:rPr>
        <w:t xml:space="preserve">Question 11: </w:t>
      </w:r>
      <w:r w:rsidRPr="00C34D39">
        <w:rPr>
          <w:rFonts w:ascii="Arial" w:hAnsi="Arial" w:cs="Times New Roman"/>
          <w:i/>
          <w:szCs w:val="18"/>
        </w:rPr>
        <w:t xml:space="preserve">How much time would be needed to implement the amendments in this proposed Update for an entity that early adopts Update 2016-02 before these proposed amendments are finalized? What transition method and transition disclosures should those entities be required to apply (provide)? Please explain your reasoning. </w:t>
      </w:r>
    </w:p>
    <w:p w:rsidR="00C34D39" w:rsidRDefault="00C34D39" w:rsidP="00DF37E1">
      <w:pPr>
        <w:spacing w:beforeLines="1" w:before="2" w:afterLines="1" w:after="2" w:line="240" w:lineRule="auto"/>
        <w:ind w:left="720"/>
        <w:rPr>
          <w:rFonts w:ascii="Arial" w:hAnsi="Arial" w:cs="Times New Roman"/>
          <w:szCs w:val="18"/>
        </w:rPr>
      </w:pPr>
    </w:p>
    <w:p w:rsidR="00C34D39" w:rsidRDefault="00C34D39" w:rsidP="00DF37E1">
      <w:pPr>
        <w:spacing w:beforeLines="1" w:before="2" w:afterLines="1" w:after="2" w:line="240" w:lineRule="auto"/>
        <w:ind w:left="1440"/>
        <w:rPr>
          <w:rFonts w:ascii="Arial" w:hAnsi="Arial" w:cs="Times New Roman"/>
          <w:szCs w:val="18"/>
        </w:rPr>
      </w:pPr>
      <w:r>
        <w:rPr>
          <w:rFonts w:ascii="Arial" w:hAnsi="Arial" w:cs="Times New Roman"/>
          <w:szCs w:val="18"/>
        </w:rPr>
        <w:t>We do not believe the proposal for sales and use tax would require significant time or effort to apply, as we believe most lessors account for sales tax on that basis today.  With regards to other lessee paid costs, we believe some companies will be challenged to adopt the pro</w:t>
      </w:r>
      <w:r w:rsidR="00061807">
        <w:rPr>
          <w:rFonts w:ascii="Arial" w:hAnsi="Arial" w:cs="Times New Roman"/>
          <w:szCs w:val="18"/>
        </w:rPr>
        <w:t>p</w:t>
      </w:r>
      <w:r>
        <w:rPr>
          <w:rFonts w:ascii="Arial" w:hAnsi="Arial" w:cs="Times New Roman"/>
          <w:szCs w:val="18"/>
        </w:rPr>
        <w:t xml:space="preserve">osals within the last three months of the year, depending upon the amount of effort that needs to </w:t>
      </w:r>
      <w:r w:rsidR="001B7310">
        <w:rPr>
          <w:rFonts w:ascii="Arial" w:hAnsi="Arial" w:cs="Times New Roman"/>
          <w:szCs w:val="18"/>
        </w:rPr>
        <w:t xml:space="preserve">be </w:t>
      </w:r>
      <w:r>
        <w:rPr>
          <w:rFonts w:ascii="Arial" w:hAnsi="Arial" w:cs="Times New Roman"/>
          <w:szCs w:val="18"/>
        </w:rPr>
        <w:t>expended on the evaluation of what constitutes determinable and depending upon the systems efforts required for lessors to gross up the reporting of property taxes that lessors pay directly and</w:t>
      </w:r>
      <w:r w:rsidR="008C684F">
        <w:rPr>
          <w:rFonts w:ascii="Arial" w:hAnsi="Arial" w:cs="Times New Roman"/>
          <w:szCs w:val="18"/>
        </w:rPr>
        <w:t xml:space="preserve"> </w:t>
      </w:r>
      <w:r w:rsidR="001B7310">
        <w:rPr>
          <w:rFonts w:ascii="Arial" w:hAnsi="Arial" w:cs="Times New Roman"/>
          <w:szCs w:val="18"/>
        </w:rPr>
        <w:t xml:space="preserve">for which they </w:t>
      </w:r>
      <w:r w:rsidR="008C684F">
        <w:rPr>
          <w:rFonts w:ascii="Arial" w:hAnsi="Arial" w:cs="Times New Roman"/>
          <w:szCs w:val="18"/>
        </w:rPr>
        <w:t xml:space="preserve">invoice </w:t>
      </w:r>
      <w:r>
        <w:rPr>
          <w:rFonts w:ascii="Arial" w:hAnsi="Arial" w:cs="Times New Roman"/>
          <w:szCs w:val="18"/>
        </w:rPr>
        <w:t>the lessee.</w:t>
      </w:r>
    </w:p>
    <w:p w:rsidR="002A7672" w:rsidRPr="002A7672" w:rsidRDefault="002A7672" w:rsidP="00DF37E1">
      <w:pPr>
        <w:spacing w:beforeLines="1" w:before="2" w:afterLines="1" w:after="2" w:line="240" w:lineRule="auto"/>
        <w:rPr>
          <w:rFonts w:ascii="Arial" w:hAnsi="Arial" w:cs="Times New Roman"/>
          <w:szCs w:val="20"/>
        </w:rPr>
      </w:pPr>
    </w:p>
    <w:p w:rsidR="006E3F86" w:rsidRPr="00BE1CA0" w:rsidRDefault="006E3F86" w:rsidP="00DF37E1">
      <w:pPr>
        <w:spacing w:beforeLines="1" w:before="2" w:afterLines="1" w:after="2" w:line="240" w:lineRule="auto"/>
        <w:ind w:left="720"/>
        <w:rPr>
          <w:rFonts w:ascii="Arial" w:hAnsi="Arial" w:cs="Times New Roman"/>
          <w:i/>
          <w:szCs w:val="18"/>
        </w:rPr>
      </w:pPr>
      <w:r w:rsidRPr="00BE1CA0">
        <w:rPr>
          <w:rFonts w:ascii="Arial" w:hAnsi="Arial" w:cs="Times New Roman"/>
          <w:b/>
          <w:bCs/>
          <w:i/>
          <w:szCs w:val="18"/>
        </w:rPr>
        <w:t xml:space="preserve">Question 12: </w:t>
      </w:r>
      <w:r w:rsidRPr="00BE1CA0">
        <w:rPr>
          <w:rFonts w:ascii="Arial" w:hAnsi="Arial" w:cs="Times New Roman"/>
          <w:i/>
          <w:szCs w:val="18"/>
        </w:rPr>
        <w:t xml:space="preserve">Should the effective date for the amendments in this proposed Update be aligned with that of Update 2016-02? If not, please explain why. </w:t>
      </w:r>
    </w:p>
    <w:p w:rsidR="00C34D39" w:rsidRDefault="00C34D39" w:rsidP="00DF37E1">
      <w:pPr>
        <w:spacing w:beforeLines="1" w:before="2" w:afterLines="1" w:after="2" w:line="240" w:lineRule="auto"/>
        <w:ind w:left="720"/>
        <w:rPr>
          <w:rFonts w:ascii="Arial" w:hAnsi="Arial" w:cs="Times New Roman"/>
          <w:szCs w:val="20"/>
        </w:rPr>
      </w:pPr>
    </w:p>
    <w:p w:rsidR="00C34D39" w:rsidRPr="002A7672" w:rsidRDefault="00C34D39" w:rsidP="00DF37E1">
      <w:pPr>
        <w:spacing w:beforeLines="1" w:before="2" w:afterLines="1" w:after="2" w:line="240" w:lineRule="auto"/>
        <w:ind w:left="1440"/>
        <w:rPr>
          <w:rFonts w:ascii="Arial" w:hAnsi="Arial" w:cs="Times New Roman"/>
          <w:szCs w:val="20"/>
        </w:rPr>
      </w:pPr>
      <w:r>
        <w:rPr>
          <w:rFonts w:ascii="Arial" w:hAnsi="Arial" w:cs="Times New Roman"/>
          <w:szCs w:val="20"/>
        </w:rPr>
        <w:t xml:space="preserve">Additional time </w:t>
      </w:r>
      <w:r w:rsidR="001B7310">
        <w:rPr>
          <w:rFonts w:ascii="Arial" w:hAnsi="Arial" w:cs="Times New Roman"/>
          <w:szCs w:val="20"/>
        </w:rPr>
        <w:t xml:space="preserve">is necessary </w:t>
      </w:r>
      <w:r>
        <w:rPr>
          <w:rFonts w:ascii="Arial" w:hAnsi="Arial" w:cs="Times New Roman"/>
          <w:szCs w:val="20"/>
        </w:rPr>
        <w:t>to adopt these proposal</w:t>
      </w:r>
      <w:r w:rsidR="001B7310">
        <w:rPr>
          <w:rFonts w:ascii="Arial" w:hAnsi="Arial" w:cs="Times New Roman"/>
          <w:szCs w:val="20"/>
        </w:rPr>
        <w:t>s</w:t>
      </w:r>
      <w:r>
        <w:rPr>
          <w:rFonts w:ascii="Arial" w:hAnsi="Arial" w:cs="Times New Roman"/>
          <w:szCs w:val="20"/>
        </w:rPr>
        <w:t xml:space="preserve"> beyond the effective date of Update 2016-02, though we</w:t>
      </w:r>
      <w:r w:rsidR="001B7310">
        <w:rPr>
          <w:rFonts w:ascii="Arial" w:hAnsi="Arial" w:cs="Times New Roman"/>
          <w:szCs w:val="20"/>
        </w:rPr>
        <w:t xml:space="preserve"> </w:t>
      </w:r>
      <w:r>
        <w:rPr>
          <w:rFonts w:ascii="Arial" w:hAnsi="Arial" w:cs="Times New Roman"/>
          <w:szCs w:val="20"/>
        </w:rPr>
        <w:t xml:space="preserve">acknowledge the reporting challenge this might entail.  While this </w:t>
      </w:r>
      <w:r w:rsidR="00BE1CA0">
        <w:rPr>
          <w:rFonts w:ascii="Arial" w:hAnsi="Arial" w:cs="Times New Roman"/>
          <w:szCs w:val="20"/>
        </w:rPr>
        <w:t xml:space="preserve">would result in the </w:t>
      </w:r>
      <w:r>
        <w:rPr>
          <w:rFonts w:ascii="Arial" w:hAnsi="Arial" w:cs="Times New Roman"/>
          <w:szCs w:val="20"/>
        </w:rPr>
        <w:t xml:space="preserve">staggering of changes </w:t>
      </w:r>
      <w:r w:rsidR="00BE1CA0">
        <w:rPr>
          <w:rFonts w:ascii="Arial" w:hAnsi="Arial" w:cs="Times New Roman"/>
          <w:szCs w:val="20"/>
        </w:rPr>
        <w:t>to lessor accounting, since the impacts are not significant</w:t>
      </w:r>
      <w:r w:rsidR="001B7310">
        <w:rPr>
          <w:rFonts w:ascii="Arial" w:hAnsi="Arial" w:cs="Times New Roman"/>
          <w:szCs w:val="20"/>
        </w:rPr>
        <w:t>,</w:t>
      </w:r>
      <w:r w:rsidR="00BE1CA0">
        <w:rPr>
          <w:rFonts w:ascii="Arial" w:hAnsi="Arial" w:cs="Times New Roman"/>
          <w:szCs w:val="20"/>
        </w:rPr>
        <w:t xml:space="preserve"> we would expect </w:t>
      </w:r>
      <w:r w:rsidR="004C3F32" w:rsidRPr="007B36A7">
        <w:rPr>
          <w:rFonts w:ascii="Arial" w:hAnsi="Arial" w:cs="Times New Roman"/>
          <w:szCs w:val="20"/>
        </w:rPr>
        <w:t>there</w:t>
      </w:r>
      <w:r w:rsidR="004C3F32">
        <w:rPr>
          <w:rFonts w:ascii="Arial" w:hAnsi="Arial" w:cs="Times New Roman"/>
          <w:szCs w:val="20"/>
        </w:rPr>
        <w:t xml:space="preserve"> </w:t>
      </w:r>
      <w:r w:rsidR="001B7310">
        <w:rPr>
          <w:rFonts w:ascii="Arial" w:hAnsi="Arial" w:cs="Times New Roman"/>
          <w:szCs w:val="20"/>
        </w:rPr>
        <w:t xml:space="preserve">to be </w:t>
      </w:r>
      <w:r w:rsidR="00BE1CA0">
        <w:rPr>
          <w:rFonts w:ascii="Arial" w:hAnsi="Arial" w:cs="Times New Roman"/>
          <w:szCs w:val="20"/>
        </w:rPr>
        <w:t>only a minor impact on reporting if Topic 842 is adopted prior to the adoption of these proposals.</w:t>
      </w:r>
    </w:p>
    <w:p w:rsidR="00681891" w:rsidRDefault="00681891" w:rsidP="00681891">
      <w:pPr>
        <w:rPr>
          <w:rFonts w:ascii="Arial" w:hAnsi="Arial" w:cs="Arial"/>
        </w:rPr>
      </w:pPr>
    </w:p>
    <w:p w:rsidR="00EF4AF9" w:rsidRDefault="00EF4AF9" w:rsidP="00007636">
      <w:pPr>
        <w:rPr>
          <w:rFonts w:ascii="Arial" w:hAnsi="Arial" w:cs="Arial"/>
        </w:rPr>
      </w:pPr>
      <w:r>
        <w:rPr>
          <w:rFonts w:ascii="Arial" w:hAnsi="Arial" w:cs="Arial"/>
        </w:rPr>
        <w:t xml:space="preserve">We appreciate your taking our views into consideration and, as always, stand ready to assist you and the Board on </w:t>
      </w:r>
      <w:r w:rsidR="001B7310">
        <w:rPr>
          <w:rFonts w:ascii="Arial" w:hAnsi="Arial" w:cs="Arial"/>
        </w:rPr>
        <w:t xml:space="preserve">this and other </w:t>
      </w:r>
      <w:r>
        <w:rPr>
          <w:rFonts w:ascii="Arial" w:hAnsi="Arial" w:cs="Arial"/>
        </w:rPr>
        <w:t>matters of mutual interest.</w:t>
      </w:r>
    </w:p>
    <w:p w:rsidR="00007636" w:rsidRDefault="00007636" w:rsidP="00007636">
      <w:pPr>
        <w:rPr>
          <w:rFonts w:ascii="Arial" w:hAnsi="Arial" w:cs="Arial"/>
        </w:rPr>
      </w:pPr>
      <w:r>
        <w:rPr>
          <w:rFonts w:ascii="Arial" w:hAnsi="Arial" w:cs="Arial"/>
        </w:rPr>
        <w:t>Sincerely,</w:t>
      </w:r>
    </w:p>
    <w:p w:rsidR="00EF4AF9" w:rsidRDefault="00CA39D2" w:rsidP="00007636">
      <w:pPr>
        <w:rPr>
          <w:rFonts w:ascii="Arial" w:hAnsi="Arial" w:cs="Arial"/>
        </w:rPr>
      </w:pPr>
      <w:r>
        <w:rPr>
          <w:noProof/>
        </w:rPr>
        <w:drawing>
          <wp:inline distT="0" distB="0" distL="0" distR="0">
            <wp:extent cx="1916430" cy="590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6430" cy="590550"/>
                    </a:xfrm>
                    <a:prstGeom prst="rect">
                      <a:avLst/>
                    </a:prstGeom>
                    <a:noFill/>
                    <a:ln>
                      <a:noFill/>
                    </a:ln>
                  </pic:spPr>
                </pic:pic>
              </a:graphicData>
            </a:graphic>
          </wp:inline>
        </w:drawing>
      </w:r>
      <w:bookmarkStart w:id="0" w:name="_GoBack"/>
      <w:bookmarkEnd w:id="0"/>
    </w:p>
    <w:p w:rsidR="00EF4AF9" w:rsidRPr="00EF4AF9" w:rsidRDefault="00EF4AF9" w:rsidP="00007636">
      <w:pPr>
        <w:rPr>
          <w:rFonts w:ascii="Arial" w:hAnsi="Arial" w:cs="Arial"/>
        </w:rPr>
      </w:pPr>
      <w:r>
        <w:rPr>
          <w:rFonts w:ascii="Arial" w:hAnsi="Arial" w:cs="Arial"/>
        </w:rPr>
        <w:t>Ralph Petta</w:t>
      </w:r>
    </w:p>
    <w:p w:rsidR="00EF4AF9" w:rsidRPr="00EF4AF9" w:rsidRDefault="00EF4AF9" w:rsidP="00EF4AF9">
      <w:pPr>
        <w:pStyle w:val="NoSpacing"/>
        <w:rPr>
          <w:rFonts w:ascii="Arial" w:hAnsi="Arial" w:cs="Arial"/>
        </w:rPr>
      </w:pPr>
      <w:r w:rsidRPr="00EF4AF9">
        <w:rPr>
          <w:rFonts w:ascii="Arial" w:hAnsi="Arial" w:cs="Arial"/>
        </w:rPr>
        <w:t>President/CEO</w:t>
      </w:r>
    </w:p>
    <w:p w:rsidR="00EF4AF9" w:rsidRPr="00EF4AF9" w:rsidRDefault="00EF4AF9" w:rsidP="00EF4AF9">
      <w:pPr>
        <w:pStyle w:val="NoSpacing"/>
        <w:rPr>
          <w:rFonts w:ascii="Arial" w:hAnsi="Arial" w:cs="Arial"/>
        </w:rPr>
      </w:pPr>
      <w:r w:rsidRPr="00EF4AF9">
        <w:rPr>
          <w:rFonts w:ascii="Arial" w:hAnsi="Arial" w:cs="Arial"/>
        </w:rPr>
        <w:t>Equipment Leasing and Finance Association</w:t>
      </w:r>
    </w:p>
    <w:p w:rsidR="00007636" w:rsidRDefault="00007636" w:rsidP="00007636">
      <w:pPr>
        <w:rPr>
          <w:rFonts w:ascii="Arial" w:hAnsi="Arial" w:cs="Arial"/>
        </w:rPr>
      </w:pPr>
    </w:p>
    <w:p w:rsidR="00220C01" w:rsidRDefault="00220C01" w:rsidP="00FF3EF1">
      <w:pPr>
        <w:spacing w:before="100" w:beforeAutospacing="1" w:after="100" w:afterAutospacing="1"/>
        <w:rPr>
          <w:rFonts w:ascii="Arial" w:hAnsi="Arial" w:cs="Arial"/>
        </w:rPr>
      </w:pPr>
    </w:p>
    <w:p w:rsidR="00220C01" w:rsidRDefault="00220C01" w:rsidP="00220C01">
      <w:pPr>
        <w:spacing w:before="100" w:beforeAutospacing="1" w:after="0" w:line="240" w:lineRule="auto"/>
        <w:rPr>
          <w:rFonts w:ascii="Arial" w:hAnsi="Arial" w:cs="Arial"/>
        </w:rPr>
      </w:pPr>
    </w:p>
    <w:sectPr w:rsidR="00220C01" w:rsidSect="008710A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549" w:rsidRDefault="00D92549" w:rsidP="00697D24">
      <w:pPr>
        <w:spacing w:after="0" w:line="240" w:lineRule="auto"/>
      </w:pPr>
      <w:r>
        <w:separator/>
      </w:r>
    </w:p>
  </w:endnote>
  <w:endnote w:type="continuationSeparator" w:id="0">
    <w:p w:rsidR="00D92549" w:rsidRDefault="00D92549" w:rsidP="00697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6956751"/>
      <w:docPartObj>
        <w:docPartGallery w:val="Page Numbers (Bottom of Page)"/>
        <w:docPartUnique/>
      </w:docPartObj>
    </w:sdtPr>
    <w:sdtEndPr>
      <w:rPr>
        <w:noProof/>
      </w:rPr>
    </w:sdtEndPr>
    <w:sdtContent>
      <w:p w:rsidR="00D92549" w:rsidRDefault="001B7310">
        <w:pPr>
          <w:pStyle w:val="Footer"/>
          <w:jc w:val="center"/>
        </w:pPr>
        <w:r>
          <w:rPr>
            <w:noProof/>
          </w:rPr>
          <w:fldChar w:fldCharType="begin"/>
        </w:r>
        <w:r>
          <w:rPr>
            <w:noProof/>
          </w:rPr>
          <w:instrText xml:space="preserve"> PAGE   \* MERGEFORMAT </w:instrText>
        </w:r>
        <w:r>
          <w:rPr>
            <w:noProof/>
          </w:rPr>
          <w:fldChar w:fldCharType="separate"/>
        </w:r>
        <w:r w:rsidR="000304BB">
          <w:rPr>
            <w:noProof/>
          </w:rPr>
          <w:t>1</w:t>
        </w:r>
        <w:r>
          <w:rPr>
            <w:noProof/>
          </w:rPr>
          <w:fldChar w:fldCharType="end"/>
        </w:r>
      </w:p>
    </w:sdtContent>
  </w:sdt>
  <w:p w:rsidR="00D92549" w:rsidRDefault="00D92549" w:rsidP="006164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549" w:rsidRDefault="00D92549" w:rsidP="00697D24">
      <w:pPr>
        <w:spacing w:after="0" w:line="240" w:lineRule="auto"/>
      </w:pPr>
      <w:r>
        <w:separator/>
      </w:r>
    </w:p>
  </w:footnote>
  <w:footnote w:type="continuationSeparator" w:id="0">
    <w:p w:rsidR="00D92549" w:rsidRDefault="00D92549" w:rsidP="00697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2101"/>
    <w:multiLevelType w:val="hybridMultilevel"/>
    <w:tmpl w:val="BD9208B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C46B0A"/>
    <w:multiLevelType w:val="hybridMultilevel"/>
    <w:tmpl w:val="A24CCC74"/>
    <w:lvl w:ilvl="0" w:tplc="6E16D9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87CAB"/>
    <w:multiLevelType w:val="hybridMultilevel"/>
    <w:tmpl w:val="00F4C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069DA"/>
    <w:multiLevelType w:val="hybridMultilevel"/>
    <w:tmpl w:val="33360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449A1"/>
    <w:multiLevelType w:val="hybridMultilevel"/>
    <w:tmpl w:val="B310F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9555B"/>
    <w:multiLevelType w:val="hybridMultilevel"/>
    <w:tmpl w:val="837236BE"/>
    <w:lvl w:ilvl="0" w:tplc="32B82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8C090B"/>
    <w:multiLevelType w:val="multilevel"/>
    <w:tmpl w:val="2DCE89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5B4F9F"/>
    <w:multiLevelType w:val="hybridMultilevel"/>
    <w:tmpl w:val="A76E9B5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8" w15:restartNumberingAfterBreak="0">
    <w:nsid w:val="3FBE1C5E"/>
    <w:multiLevelType w:val="hybridMultilevel"/>
    <w:tmpl w:val="F97E1274"/>
    <w:lvl w:ilvl="0" w:tplc="04090013">
      <w:start w:val="1"/>
      <w:numFmt w:val="upperRoman"/>
      <w:lvlText w:val="%1."/>
      <w:lvlJc w:val="right"/>
      <w:pPr>
        <w:ind w:left="540" w:hanging="18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40677144"/>
    <w:multiLevelType w:val="hybridMultilevel"/>
    <w:tmpl w:val="9010320A"/>
    <w:lvl w:ilvl="0" w:tplc="04090013">
      <w:start w:val="1"/>
      <w:numFmt w:val="upperRoman"/>
      <w:lvlText w:val="%1."/>
      <w:lvlJc w:val="right"/>
      <w:pPr>
        <w:ind w:left="54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86139B"/>
    <w:multiLevelType w:val="multilevel"/>
    <w:tmpl w:val="F97E1274"/>
    <w:lvl w:ilvl="0">
      <w:start w:val="1"/>
      <w:numFmt w:val="upperRoman"/>
      <w:lvlText w:val="%1."/>
      <w:lvlJc w:val="right"/>
      <w:pPr>
        <w:ind w:left="540" w:hanging="18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1" w15:restartNumberingAfterBreak="0">
    <w:nsid w:val="4B750486"/>
    <w:multiLevelType w:val="multilevel"/>
    <w:tmpl w:val="B310F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050578"/>
    <w:multiLevelType w:val="hybridMultilevel"/>
    <w:tmpl w:val="E6B4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D6E22"/>
    <w:multiLevelType w:val="hybridMultilevel"/>
    <w:tmpl w:val="AD96D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33115A"/>
    <w:multiLevelType w:val="hybridMultilevel"/>
    <w:tmpl w:val="CE60B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4589A"/>
    <w:multiLevelType w:val="hybridMultilevel"/>
    <w:tmpl w:val="9E8CE4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D2941CE"/>
    <w:multiLevelType w:val="hybridMultilevel"/>
    <w:tmpl w:val="23A6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17263C"/>
    <w:multiLevelType w:val="hybridMultilevel"/>
    <w:tmpl w:val="004EEE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B14238E"/>
    <w:multiLevelType w:val="hybridMultilevel"/>
    <w:tmpl w:val="F73E980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2B628D"/>
    <w:multiLevelType w:val="hybridMultilevel"/>
    <w:tmpl w:val="F1AAC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3"/>
  </w:num>
  <w:num w:numId="4">
    <w:abstractNumId w:val="12"/>
  </w:num>
  <w:num w:numId="5">
    <w:abstractNumId w:val="19"/>
  </w:num>
  <w:num w:numId="6">
    <w:abstractNumId w:val="5"/>
  </w:num>
  <w:num w:numId="7">
    <w:abstractNumId w:val="18"/>
  </w:num>
  <w:num w:numId="8">
    <w:abstractNumId w:val="15"/>
  </w:num>
  <w:num w:numId="9">
    <w:abstractNumId w:val="17"/>
  </w:num>
  <w:num w:numId="10">
    <w:abstractNumId w:val="7"/>
  </w:num>
  <w:num w:numId="11">
    <w:abstractNumId w:val="2"/>
  </w:num>
  <w:num w:numId="12">
    <w:abstractNumId w:val="14"/>
  </w:num>
  <w:num w:numId="13">
    <w:abstractNumId w:val="0"/>
  </w:num>
  <w:num w:numId="14">
    <w:abstractNumId w:val="9"/>
  </w:num>
  <w:num w:numId="15">
    <w:abstractNumId w:val="6"/>
  </w:num>
  <w:num w:numId="16">
    <w:abstractNumId w:val="3"/>
  </w:num>
  <w:num w:numId="17">
    <w:abstractNumId w:val="4"/>
  </w:num>
  <w:num w:numId="18">
    <w:abstractNumId w:val="11"/>
  </w:num>
  <w:num w:numId="19">
    <w:abstractNumId w:val="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DF1481"/>
    <w:rsid w:val="00007365"/>
    <w:rsid w:val="00007636"/>
    <w:rsid w:val="0001244F"/>
    <w:rsid w:val="00020AD6"/>
    <w:rsid w:val="00025226"/>
    <w:rsid w:val="00025394"/>
    <w:rsid w:val="000304BB"/>
    <w:rsid w:val="00042BCD"/>
    <w:rsid w:val="00054573"/>
    <w:rsid w:val="00061807"/>
    <w:rsid w:val="000864FB"/>
    <w:rsid w:val="000A11D6"/>
    <w:rsid w:val="000A7059"/>
    <w:rsid w:val="000B5E31"/>
    <w:rsid w:val="000C7CD1"/>
    <w:rsid w:val="000C7F35"/>
    <w:rsid w:val="000D268E"/>
    <w:rsid w:val="000E58C9"/>
    <w:rsid w:val="000E6785"/>
    <w:rsid w:val="000F5683"/>
    <w:rsid w:val="000F5F3E"/>
    <w:rsid w:val="001101EF"/>
    <w:rsid w:val="001137B0"/>
    <w:rsid w:val="00114086"/>
    <w:rsid w:val="00114C6F"/>
    <w:rsid w:val="00114E92"/>
    <w:rsid w:val="001227F3"/>
    <w:rsid w:val="00131748"/>
    <w:rsid w:val="00131C38"/>
    <w:rsid w:val="0013534E"/>
    <w:rsid w:val="00146737"/>
    <w:rsid w:val="00163418"/>
    <w:rsid w:val="00166B62"/>
    <w:rsid w:val="001717E3"/>
    <w:rsid w:val="0017264D"/>
    <w:rsid w:val="001839AA"/>
    <w:rsid w:val="001867C2"/>
    <w:rsid w:val="00195765"/>
    <w:rsid w:val="001B7310"/>
    <w:rsid w:val="001C3B48"/>
    <w:rsid w:val="001D4DFD"/>
    <w:rsid w:val="001F748C"/>
    <w:rsid w:val="001F7880"/>
    <w:rsid w:val="00220C01"/>
    <w:rsid w:val="002272D8"/>
    <w:rsid w:val="00231690"/>
    <w:rsid w:val="002346B5"/>
    <w:rsid w:val="0023644F"/>
    <w:rsid w:val="00263510"/>
    <w:rsid w:val="002676C1"/>
    <w:rsid w:val="00271561"/>
    <w:rsid w:val="00272861"/>
    <w:rsid w:val="00273218"/>
    <w:rsid w:val="00295D0A"/>
    <w:rsid w:val="002A5109"/>
    <w:rsid w:val="002A7672"/>
    <w:rsid w:val="002B62DA"/>
    <w:rsid w:val="002B68D3"/>
    <w:rsid w:val="002C03EB"/>
    <w:rsid w:val="002D204C"/>
    <w:rsid w:val="002E16DB"/>
    <w:rsid w:val="002E52B2"/>
    <w:rsid w:val="002F562F"/>
    <w:rsid w:val="002F652B"/>
    <w:rsid w:val="00307E8B"/>
    <w:rsid w:val="00323438"/>
    <w:rsid w:val="003239BB"/>
    <w:rsid w:val="00331E06"/>
    <w:rsid w:val="0033280A"/>
    <w:rsid w:val="0033397F"/>
    <w:rsid w:val="003407A2"/>
    <w:rsid w:val="0034307F"/>
    <w:rsid w:val="003518C2"/>
    <w:rsid w:val="0035627E"/>
    <w:rsid w:val="00362F0A"/>
    <w:rsid w:val="0036447F"/>
    <w:rsid w:val="0036562A"/>
    <w:rsid w:val="003751CD"/>
    <w:rsid w:val="00380759"/>
    <w:rsid w:val="0039466F"/>
    <w:rsid w:val="00397126"/>
    <w:rsid w:val="003D078D"/>
    <w:rsid w:val="003D5FC5"/>
    <w:rsid w:val="003E16B2"/>
    <w:rsid w:val="003F1128"/>
    <w:rsid w:val="003F1357"/>
    <w:rsid w:val="003F7249"/>
    <w:rsid w:val="00406157"/>
    <w:rsid w:val="004101C1"/>
    <w:rsid w:val="00412114"/>
    <w:rsid w:val="004161AA"/>
    <w:rsid w:val="004218B2"/>
    <w:rsid w:val="0042227C"/>
    <w:rsid w:val="00423236"/>
    <w:rsid w:val="00427938"/>
    <w:rsid w:val="00427CED"/>
    <w:rsid w:val="00434529"/>
    <w:rsid w:val="004345B2"/>
    <w:rsid w:val="00457943"/>
    <w:rsid w:val="00461042"/>
    <w:rsid w:val="004660C1"/>
    <w:rsid w:val="00471957"/>
    <w:rsid w:val="004738F6"/>
    <w:rsid w:val="00476D4C"/>
    <w:rsid w:val="0048067E"/>
    <w:rsid w:val="00481D17"/>
    <w:rsid w:val="00484B17"/>
    <w:rsid w:val="00491C3F"/>
    <w:rsid w:val="00492CD8"/>
    <w:rsid w:val="00496420"/>
    <w:rsid w:val="004A30AD"/>
    <w:rsid w:val="004B0726"/>
    <w:rsid w:val="004B40F3"/>
    <w:rsid w:val="004C2437"/>
    <w:rsid w:val="004C3F32"/>
    <w:rsid w:val="004C428D"/>
    <w:rsid w:val="004C5987"/>
    <w:rsid w:val="004F23B4"/>
    <w:rsid w:val="004F390C"/>
    <w:rsid w:val="00516B5F"/>
    <w:rsid w:val="005211A7"/>
    <w:rsid w:val="0053227C"/>
    <w:rsid w:val="00534FFD"/>
    <w:rsid w:val="00561F34"/>
    <w:rsid w:val="005778B1"/>
    <w:rsid w:val="00580D44"/>
    <w:rsid w:val="00582002"/>
    <w:rsid w:val="00592578"/>
    <w:rsid w:val="0059796A"/>
    <w:rsid w:val="005A2DB3"/>
    <w:rsid w:val="005B36E1"/>
    <w:rsid w:val="005C7390"/>
    <w:rsid w:val="005D37F6"/>
    <w:rsid w:val="005E0860"/>
    <w:rsid w:val="005E25A4"/>
    <w:rsid w:val="005E6272"/>
    <w:rsid w:val="005F4306"/>
    <w:rsid w:val="00600149"/>
    <w:rsid w:val="00601879"/>
    <w:rsid w:val="006164C4"/>
    <w:rsid w:val="0063748F"/>
    <w:rsid w:val="00645A65"/>
    <w:rsid w:val="00650148"/>
    <w:rsid w:val="00654BFE"/>
    <w:rsid w:val="00656F89"/>
    <w:rsid w:val="006577DF"/>
    <w:rsid w:val="00663C29"/>
    <w:rsid w:val="006800C8"/>
    <w:rsid w:val="00680758"/>
    <w:rsid w:val="0068154A"/>
    <w:rsid w:val="00681891"/>
    <w:rsid w:val="00693CCF"/>
    <w:rsid w:val="00697D24"/>
    <w:rsid w:val="006A3C50"/>
    <w:rsid w:val="006B300D"/>
    <w:rsid w:val="006B5AC9"/>
    <w:rsid w:val="006B765F"/>
    <w:rsid w:val="006D0EDB"/>
    <w:rsid w:val="006D3F65"/>
    <w:rsid w:val="006E27DD"/>
    <w:rsid w:val="006E3F86"/>
    <w:rsid w:val="006F1A48"/>
    <w:rsid w:val="006F6973"/>
    <w:rsid w:val="007152A0"/>
    <w:rsid w:val="00722C7E"/>
    <w:rsid w:val="00722E51"/>
    <w:rsid w:val="00727DFA"/>
    <w:rsid w:val="00734886"/>
    <w:rsid w:val="007419C0"/>
    <w:rsid w:val="00746CD8"/>
    <w:rsid w:val="0075241E"/>
    <w:rsid w:val="007858A5"/>
    <w:rsid w:val="00794A3B"/>
    <w:rsid w:val="007A3064"/>
    <w:rsid w:val="007B36A7"/>
    <w:rsid w:val="007D3328"/>
    <w:rsid w:val="007D4AC3"/>
    <w:rsid w:val="00806866"/>
    <w:rsid w:val="008070B4"/>
    <w:rsid w:val="00807C64"/>
    <w:rsid w:val="0083530A"/>
    <w:rsid w:val="00844648"/>
    <w:rsid w:val="008621FB"/>
    <w:rsid w:val="00865314"/>
    <w:rsid w:val="00867464"/>
    <w:rsid w:val="008710A4"/>
    <w:rsid w:val="00873FFB"/>
    <w:rsid w:val="00875019"/>
    <w:rsid w:val="00876DF6"/>
    <w:rsid w:val="008B2581"/>
    <w:rsid w:val="008B2BF2"/>
    <w:rsid w:val="008B45A3"/>
    <w:rsid w:val="008C684F"/>
    <w:rsid w:val="008E66F9"/>
    <w:rsid w:val="008F47E1"/>
    <w:rsid w:val="009077D7"/>
    <w:rsid w:val="00916003"/>
    <w:rsid w:val="00926026"/>
    <w:rsid w:val="009264BC"/>
    <w:rsid w:val="00931964"/>
    <w:rsid w:val="009326DB"/>
    <w:rsid w:val="00943687"/>
    <w:rsid w:val="00943982"/>
    <w:rsid w:val="00944F66"/>
    <w:rsid w:val="00970A99"/>
    <w:rsid w:val="00973630"/>
    <w:rsid w:val="00973BF3"/>
    <w:rsid w:val="009777A2"/>
    <w:rsid w:val="00980567"/>
    <w:rsid w:val="00980F9C"/>
    <w:rsid w:val="009816B2"/>
    <w:rsid w:val="00983AC5"/>
    <w:rsid w:val="00993134"/>
    <w:rsid w:val="009A23AE"/>
    <w:rsid w:val="009B5A91"/>
    <w:rsid w:val="009C136A"/>
    <w:rsid w:val="009C2298"/>
    <w:rsid w:val="009D73D2"/>
    <w:rsid w:val="00A01667"/>
    <w:rsid w:val="00A01768"/>
    <w:rsid w:val="00A03452"/>
    <w:rsid w:val="00A10E0B"/>
    <w:rsid w:val="00A17E05"/>
    <w:rsid w:val="00A31A8B"/>
    <w:rsid w:val="00A324B7"/>
    <w:rsid w:val="00A42FE8"/>
    <w:rsid w:val="00A53B3C"/>
    <w:rsid w:val="00A60245"/>
    <w:rsid w:val="00A64522"/>
    <w:rsid w:val="00A66354"/>
    <w:rsid w:val="00A74693"/>
    <w:rsid w:val="00A8102E"/>
    <w:rsid w:val="00AA67BF"/>
    <w:rsid w:val="00AC2DC1"/>
    <w:rsid w:val="00AC4320"/>
    <w:rsid w:val="00AD38A1"/>
    <w:rsid w:val="00B02506"/>
    <w:rsid w:val="00B027A2"/>
    <w:rsid w:val="00B0345A"/>
    <w:rsid w:val="00B12E74"/>
    <w:rsid w:val="00B26F2F"/>
    <w:rsid w:val="00B33C88"/>
    <w:rsid w:val="00B370D9"/>
    <w:rsid w:val="00B413AC"/>
    <w:rsid w:val="00B41861"/>
    <w:rsid w:val="00B520E6"/>
    <w:rsid w:val="00B60B49"/>
    <w:rsid w:val="00B87F72"/>
    <w:rsid w:val="00BB37BA"/>
    <w:rsid w:val="00BC0681"/>
    <w:rsid w:val="00BC15A1"/>
    <w:rsid w:val="00BC5FCA"/>
    <w:rsid w:val="00BC6EC2"/>
    <w:rsid w:val="00BD30C8"/>
    <w:rsid w:val="00BD6832"/>
    <w:rsid w:val="00BE1CA0"/>
    <w:rsid w:val="00BE5623"/>
    <w:rsid w:val="00BE5EBC"/>
    <w:rsid w:val="00BF66E8"/>
    <w:rsid w:val="00C231BD"/>
    <w:rsid w:val="00C32548"/>
    <w:rsid w:val="00C34D39"/>
    <w:rsid w:val="00C411B6"/>
    <w:rsid w:val="00C44F71"/>
    <w:rsid w:val="00C5139F"/>
    <w:rsid w:val="00C57173"/>
    <w:rsid w:val="00C57784"/>
    <w:rsid w:val="00C677E4"/>
    <w:rsid w:val="00C81061"/>
    <w:rsid w:val="00C8166A"/>
    <w:rsid w:val="00C95E37"/>
    <w:rsid w:val="00CA39D2"/>
    <w:rsid w:val="00CA62FC"/>
    <w:rsid w:val="00CA7EFC"/>
    <w:rsid w:val="00CB3418"/>
    <w:rsid w:val="00CB3EFE"/>
    <w:rsid w:val="00CC4270"/>
    <w:rsid w:val="00CD03AD"/>
    <w:rsid w:val="00CD3283"/>
    <w:rsid w:val="00CE36E1"/>
    <w:rsid w:val="00CE5BB9"/>
    <w:rsid w:val="00D0055D"/>
    <w:rsid w:val="00D0573A"/>
    <w:rsid w:val="00D123D8"/>
    <w:rsid w:val="00D14F35"/>
    <w:rsid w:val="00D309E3"/>
    <w:rsid w:val="00D440AB"/>
    <w:rsid w:val="00D659C6"/>
    <w:rsid w:val="00D82BA2"/>
    <w:rsid w:val="00D92549"/>
    <w:rsid w:val="00D9452B"/>
    <w:rsid w:val="00DA2EE4"/>
    <w:rsid w:val="00DB218A"/>
    <w:rsid w:val="00DB5BA3"/>
    <w:rsid w:val="00DE0FF1"/>
    <w:rsid w:val="00DF1481"/>
    <w:rsid w:val="00DF2397"/>
    <w:rsid w:val="00DF289F"/>
    <w:rsid w:val="00DF37E1"/>
    <w:rsid w:val="00DF7259"/>
    <w:rsid w:val="00E07072"/>
    <w:rsid w:val="00E1697F"/>
    <w:rsid w:val="00E22C3D"/>
    <w:rsid w:val="00E43259"/>
    <w:rsid w:val="00E44319"/>
    <w:rsid w:val="00E45282"/>
    <w:rsid w:val="00E548AA"/>
    <w:rsid w:val="00E60A8D"/>
    <w:rsid w:val="00E64111"/>
    <w:rsid w:val="00E65DC1"/>
    <w:rsid w:val="00E95324"/>
    <w:rsid w:val="00E95469"/>
    <w:rsid w:val="00EB102A"/>
    <w:rsid w:val="00EB1B73"/>
    <w:rsid w:val="00EB2455"/>
    <w:rsid w:val="00EB7F3E"/>
    <w:rsid w:val="00EC2998"/>
    <w:rsid w:val="00EC4CA7"/>
    <w:rsid w:val="00EC5957"/>
    <w:rsid w:val="00ED3D92"/>
    <w:rsid w:val="00ED55D7"/>
    <w:rsid w:val="00EF3D19"/>
    <w:rsid w:val="00EF4AF9"/>
    <w:rsid w:val="00F04507"/>
    <w:rsid w:val="00F04D24"/>
    <w:rsid w:val="00F07106"/>
    <w:rsid w:val="00F16861"/>
    <w:rsid w:val="00F21DD6"/>
    <w:rsid w:val="00F255AD"/>
    <w:rsid w:val="00F332F1"/>
    <w:rsid w:val="00F427C6"/>
    <w:rsid w:val="00F51CF9"/>
    <w:rsid w:val="00F533C2"/>
    <w:rsid w:val="00F65401"/>
    <w:rsid w:val="00F6785F"/>
    <w:rsid w:val="00F765BC"/>
    <w:rsid w:val="00F91208"/>
    <w:rsid w:val="00FA201D"/>
    <w:rsid w:val="00FA3CFC"/>
    <w:rsid w:val="00FB060C"/>
    <w:rsid w:val="00FD673E"/>
    <w:rsid w:val="00FD6E49"/>
    <w:rsid w:val="00FE22B7"/>
    <w:rsid w:val="00FF256B"/>
    <w:rsid w:val="00FF3EF1"/>
    <w:rsid w:val="00FF679D"/>
    <w:rsid w:val="00FF7D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18A0406-E08E-48BC-B385-E0D74BE31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2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148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1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481"/>
    <w:rPr>
      <w:rFonts w:ascii="Tahoma" w:hAnsi="Tahoma" w:cs="Tahoma"/>
      <w:sz w:val="16"/>
      <w:szCs w:val="16"/>
    </w:rPr>
  </w:style>
  <w:style w:type="paragraph" w:styleId="ListParagraph">
    <w:name w:val="List Paragraph"/>
    <w:basedOn w:val="Normal"/>
    <w:uiPriority w:val="34"/>
    <w:qFormat/>
    <w:rsid w:val="00DF1481"/>
    <w:pPr>
      <w:ind w:left="720"/>
      <w:contextualSpacing/>
    </w:pPr>
  </w:style>
  <w:style w:type="paragraph" w:styleId="Header">
    <w:name w:val="header"/>
    <w:basedOn w:val="Normal"/>
    <w:link w:val="HeaderChar"/>
    <w:uiPriority w:val="99"/>
    <w:unhideWhenUsed/>
    <w:rsid w:val="00697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D24"/>
  </w:style>
  <w:style w:type="paragraph" w:styleId="Footer">
    <w:name w:val="footer"/>
    <w:basedOn w:val="Normal"/>
    <w:link w:val="FooterChar"/>
    <w:uiPriority w:val="99"/>
    <w:unhideWhenUsed/>
    <w:rsid w:val="00697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D24"/>
  </w:style>
  <w:style w:type="character" w:styleId="Hyperlink">
    <w:name w:val="Hyperlink"/>
    <w:rsid w:val="00FD673E"/>
    <w:rPr>
      <w:color w:val="0000FF"/>
      <w:u w:val="single"/>
    </w:rPr>
  </w:style>
  <w:style w:type="paragraph" w:customStyle="1" w:styleId="Default">
    <w:name w:val="Default"/>
    <w:rsid w:val="00FD673E"/>
    <w:pPr>
      <w:autoSpaceDE w:val="0"/>
      <w:autoSpaceDN w:val="0"/>
      <w:adjustRightInd w:val="0"/>
      <w:spacing w:after="0" w:line="240" w:lineRule="auto"/>
    </w:pPr>
    <w:rPr>
      <w:rFonts w:ascii="Times New Roman" w:hAnsi="Times New Roman" w:cs="Times New Roman"/>
      <w:color w:val="000000"/>
      <w:sz w:val="24"/>
      <w:szCs w:val="24"/>
      <w:lang w:eastAsia="zh-CN"/>
    </w:rPr>
  </w:style>
  <w:style w:type="character" w:styleId="Strong">
    <w:name w:val="Strong"/>
    <w:basedOn w:val="DefaultParagraphFont"/>
    <w:uiPriority w:val="22"/>
    <w:qFormat/>
    <w:rsid w:val="00FD673E"/>
    <w:rPr>
      <w:b/>
      <w:bCs/>
    </w:rPr>
  </w:style>
  <w:style w:type="paragraph" w:styleId="FootnoteText">
    <w:name w:val="footnote text"/>
    <w:basedOn w:val="Normal"/>
    <w:link w:val="FootnoteTextChar"/>
    <w:uiPriority w:val="99"/>
    <w:semiHidden/>
    <w:unhideWhenUsed/>
    <w:rsid w:val="00491C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1C3F"/>
    <w:rPr>
      <w:sz w:val="20"/>
      <w:szCs w:val="20"/>
    </w:rPr>
  </w:style>
  <w:style w:type="character" w:styleId="FootnoteReference">
    <w:name w:val="footnote reference"/>
    <w:basedOn w:val="DefaultParagraphFont"/>
    <w:uiPriority w:val="99"/>
    <w:semiHidden/>
    <w:unhideWhenUsed/>
    <w:rsid w:val="00491C3F"/>
    <w:rPr>
      <w:vertAlign w:val="superscript"/>
    </w:rPr>
  </w:style>
  <w:style w:type="character" w:styleId="CommentReference">
    <w:name w:val="annotation reference"/>
    <w:basedOn w:val="DefaultParagraphFont"/>
    <w:uiPriority w:val="99"/>
    <w:semiHidden/>
    <w:unhideWhenUsed/>
    <w:rsid w:val="000B5E31"/>
    <w:rPr>
      <w:sz w:val="16"/>
      <w:szCs w:val="16"/>
    </w:rPr>
  </w:style>
  <w:style w:type="paragraph" w:styleId="CommentText">
    <w:name w:val="annotation text"/>
    <w:basedOn w:val="Normal"/>
    <w:link w:val="CommentTextChar"/>
    <w:uiPriority w:val="99"/>
    <w:semiHidden/>
    <w:unhideWhenUsed/>
    <w:rsid w:val="000B5E31"/>
    <w:pPr>
      <w:spacing w:line="240" w:lineRule="auto"/>
    </w:pPr>
    <w:rPr>
      <w:sz w:val="20"/>
      <w:szCs w:val="20"/>
    </w:rPr>
  </w:style>
  <w:style w:type="character" w:customStyle="1" w:styleId="CommentTextChar">
    <w:name w:val="Comment Text Char"/>
    <w:basedOn w:val="DefaultParagraphFont"/>
    <w:link w:val="CommentText"/>
    <w:uiPriority w:val="99"/>
    <w:semiHidden/>
    <w:rsid w:val="000B5E31"/>
    <w:rPr>
      <w:sz w:val="20"/>
      <w:szCs w:val="20"/>
    </w:rPr>
  </w:style>
  <w:style w:type="paragraph" w:styleId="CommentSubject">
    <w:name w:val="annotation subject"/>
    <w:basedOn w:val="CommentText"/>
    <w:next w:val="CommentText"/>
    <w:link w:val="CommentSubjectChar"/>
    <w:uiPriority w:val="99"/>
    <w:semiHidden/>
    <w:unhideWhenUsed/>
    <w:rsid w:val="000B5E31"/>
    <w:rPr>
      <w:b/>
      <w:bCs/>
    </w:rPr>
  </w:style>
  <w:style w:type="character" w:customStyle="1" w:styleId="CommentSubjectChar">
    <w:name w:val="Comment Subject Char"/>
    <w:basedOn w:val="CommentTextChar"/>
    <w:link w:val="CommentSubject"/>
    <w:uiPriority w:val="99"/>
    <w:semiHidden/>
    <w:rsid w:val="000B5E31"/>
    <w:rPr>
      <w:b/>
      <w:bCs/>
      <w:sz w:val="20"/>
      <w:szCs w:val="20"/>
    </w:rPr>
  </w:style>
  <w:style w:type="paragraph" w:styleId="NoSpacing">
    <w:name w:val="No Spacing"/>
    <w:uiPriority w:val="1"/>
    <w:qFormat/>
    <w:rsid w:val="00EF4AF9"/>
    <w:pPr>
      <w:spacing w:after="0" w:line="240" w:lineRule="auto"/>
    </w:pPr>
  </w:style>
  <w:style w:type="character" w:styleId="FollowedHyperlink">
    <w:name w:val="FollowedHyperlink"/>
    <w:basedOn w:val="DefaultParagraphFont"/>
    <w:uiPriority w:val="99"/>
    <w:semiHidden/>
    <w:unhideWhenUsed/>
    <w:rsid w:val="00CC42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74821">
      <w:bodyDiv w:val="1"/>
      <w:marLeft w:val="0"/>
      <w:marRight w:val="0"/>
      <w:marTop w:val="0"/>
      <w:marBottom w:val="0"/>
      <w:divBdr>
        <w:top w:val="none" w:sz="0" w:space="0" w:color="auto"/>
        <w:left w:val="none" w:sz="0" w:space="0" w:color="auto"/>
        <w:bottom w:val="none" w:sz="0" w:space="0" w:color="auto"/>
        <w:right w:val="none" w:sz="0" w:space="0" w:color="auto"/>
      </w:divBdr>
    </w:div>
    <w:div w:id="325136466">
      <w:bodyDiv w:val="1"/>
      <w:marLeft w:val="0"/>
      <w:marRight w:val="0"/>
      <w:marTop w:val="0"/>
      <w:marBottom w:val="0"/>
      <w:divBdr>
        <w:top w:val="none" w:sz="0" w:space="0" w:color="auto"/>
        <w:left w:val="none" w:sz="0" w:space="0" w:color="auto"/>
        <w:bottom w:val="none" w:sz="0" w:space="0" w:color="auto"/>
        <w:right w:val="none" w:sz="0" w:space="0" w:color="auto"/>
      </w:divBdr>
    </w:div>
    <w:div w:id="360209469">
      <w:bodyDiv w:val="1"/>
      <w:marLeft w:val="0"/>
      <w:marRight w:val="0"/>
      <w:marTop w:val="0"/>
      <w:marBottom w:val="0"/>
      <w:divBdr>
        <w:top w:val="none" w:sz="0" w:space="0" w:color="auto"/>
        <w:left w:val="none" w:sz="0" w:space="0" w:color="auto"/>
        <w:bottom w:val="none" w:sz="0" w:space="0" w:color="auto"/>
        <w:right w:val="none" w:sz="0" w:space="0" w:color="auto"/>
      </w:divBdr>
    </w:div>
    <w:div w:id="610481661">
      <w:bodyDiv w:val="1"/>
      <w:marLeft w:val="0"/>
      <w:marRight w:val="0"/>
      <w:marTop w:val="0"/>
      <w:marBottom w:val="0"/>
      <w:divBdr>
        <w:top w:val="none" w:sz="0" w:space="0" w:color="auto"/>
        <w:left w:val="none" w:sz="0" w:space="0" w:color="auto"/>
        <w:bottom w:val="none" w:sz="0" w:space="0" w:color="auto"/>
        <w:right w:val="none" w:sz="0" w:space="0" w:color="auto"/>
      </w:divBdr>
    </w:div>
    <w:div w:id="783963446">
      <w:bodyDiv w:val="1"/>
      <w:marLeft w:val="0"/>
      <w:marRight w:val="0"/>
      <w:marTop w:val="0"/>
      <w:marBottom w:val="0"/>
      <w:divBdr>
        <w:top w:val="none" w:sz="0" w:space="0" w:color="auto"/>
        <w:left w:val="none" w:sz="0" w:space="0" w:color="auto"/>
        <w:bottom w:val="none" w:sz="0" w:space="0" w:color="auto"/>
        <w:right w:val="none" w:sz="0" w:space="0" w:color="auto"/>
      </w:divBdr>
    </w:div>
    <w:div w:id="1182086339">
      <w:bodyDiv w:val="1"/>
      <w:marLeft w:val="0"/>
      <w:marRight w:val="0"/>
      <w:marTop w:val="0"/>
      <w:marBottom w:val="0"/>
      <w:divBdr>
        <w:top w:val="none" w:sz="0" w:space="0" w:color="auto"/>
        <w:left w:val="none" w:sz="0" w:space="0" w:color="auto"/>
        <w:bottom w:val="none" w:sz="0" w:space="0" w:color="auto"/>
        <w:right w:val="none" w:sz="0" w:space="0" w:color="auto"/>
      </w:divBdr>
    </w:div>
    <w:div w:id="1455751997">
      <w:bodyDiv w:val="1"/>
      <w:marLeft w:val="0"/>
      <w:marRight w:val="0"/>
      <w:marTop w:val="0"/>
      <w:marBottom w:val="0"/>
      <w:divBdr>
        <w:top w:val="none" w:sz="0" w:space="0" w:color="auto"/>
        <w:left w:val="none" w:sz="0" w:space="0" w:color="auto"/>
        <w:bottom w:val="none" w:sz="0" w:space="0" w:color="auto"/>
        <w:right w:val="none" w:sz="0" w:space="0" w:color="auto"/>
      </w:divBdr>
    </w:div>
    <w:div w:id="1594511430">
      <w:bodyDiv w:val="1"/>
      <w:marLeft w:val="0"/>
      <w:marRight w:val="0"/>
      <w:marTop w:val="0"/>
      <w:marBottom w:val="0"/>
      <w:divBdr>
        <w:top w:val="none" w:sz="0" w:space="0" w:color="auto"/>
        <w:left w:val="none" w:sz="0" w:space="0" w:color="auto"/>
        <w:bottom w:val="none" w:sz="0" w:space="0" w:color="auto"/>
        <w:right w:val="none" w:sz="0" w:space="0" w:color="auto"/>
      </w:divBdr>
      <w:divsChild>
        <w:div w:id="608855823">
          <w:marLeft w:val="0"/>
          <w:marRight w:val="0"/>
          <w:marTop w:val="0"/>
          <w:marBottom w:val="0"/>
          <w:divBdr>
            <w:top w:val="none" w:sz="0" w:space="0" w:color="auto"/>
            <w:left w:val="none" w:sz="0" w:space="0" w:color="auto"/>
            <w:bottom w:val="none" w:sz="0" w:space="0" w:color="auto"/>
            <w:right w:val="none" w:sz="0" w:space="0" w:color="auto"/>
          </w:divBdr>
          <w:divsChild>
            <w:div w:id="549154463">
              <w:marLeft w:val="0"/>
              <w:marRight w:val="0"/>
              <w:marTop w:val="0"/>
              <w:marBottom w:val="0"/>
              <w:divBdr>
                <w:top w:val="none" w:sz="0" w:space="0" w:color="auto"/>
                <w:left w:val="none" w:sz="0" w:space="0" w:color="auto"/>
                <w:bottom w:val="none" w:sz="0" w:space="0" w:color="auto"/>
                <w:right w:val="none" w:sz="0" w:space="0" w:color="auto"/>
              </w:divBdr>
              <w:divsChild>
                <w:div w:id="2069304369">
                  <w:marLeft w:val="0"/>
                  <w:marRight w:val="0"/>
                  <w:marTop w:val="0"/>
                  <w:marBottom w:val="0"/>
                  <w:divBdr>
                    <w:top w:val="none" w:sz="0" w:space="0" w:color="auto"/>
                    <w:left w:val="none" w:sz="0" w:space="0" w:color="auto"/>
                    <w:bottom w:val="none" w:sz="0" w:space="0" w:color="auto"/>
                    <w:right w:val="none" w:sz="0" w:space="0" w:color="auto"/>
                  </w:divBdr>
                </w:div>
              </w:divsChild>
            </w:div>
            <w:div w:id="1972249887">
              <w:marLeft w:val="0"/>
              <w:marRight w:val="0"/>
              <w:marTop w:val="0"/>
              <w:marBottom w:val="0"/>
              <w:divBdr>
                <w:top w:val="none" w:sz="0" w:space="0" w:color="auto"/>
                <w:left w:val="none" w:sz="0" w:space="0" w:color="auto"/>
                <w:bottom w:val="none" w:sz="0" w:space="0" w:color="auto"/>
                <w:right w:val="none" w:sz="0" w:space="0" w:color="auto"/>
              </w:divBdr>
              <w:divsChild>
                <w:div w:id="17692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9794">
          <w:marLeft w:val="0"/>
          <w:marRight w:val="0"/>
          <w:marTop w:val="0"/>
          <w:marBottom w:val="0"/>
          <w:divBdr>
            <w:top w:val="none" w:sz="0" w:space="0" w:color="auto"/>
            <w:left w:val="none" w:sz="0" w:space="0" w:color="auto"/>
            <w:bottom w:val="none" w:sz="0" w:space="0" w:color="auto"/>
            <w:right w:val="none" w:sz="0" w:space="0" w:color="auto"/>
          </w:divBdr>
          <w:divsChild>
            <w:div w:id="1953432660">
              <w:marLeft w:val="0"/>
              <w:marRight w:val="0"/>
              <w:marTop w:val="0"/>
              <w:marBottom w:val="0"/>
              <w:divBdr>
                <w:top w:val="none" w:sz="0" w:space="0" w:color="auto"/>
                <w:left w:val="none" w:sz="0" w:space="0" w:color="auto"/>
                <w:bottom w:val="none" w:sz="0" w:space="0" w:color="auto"/>
                <w:right w:val="none" w:sz="0" w:space="0" w:color="auto"/>
              </w:divBdr>
              <w:divsChild>
                <w:div w:id="1385369921">
                  <w:marLeft w:val="0"/>
                  <w:marRight w:val="0"/>
                  <w:marTop w:val="0"/>
                  <w:marBottom w:val="0"/>
                  <w:divBdr>
                    <w:top w:val="none" w:sz="0" w:space="0" w:color="auto"/>
                    <w:left w:val="none" w:sz="0" w:space="0" w:color="auto"/>
                    <w:bottom w:val="none" w:sz="0" w:space="0" w:color="auto"/>
                    <w:right w:val="none" w:sz="0" w:space="0" w:color="auto"/>
                  </w:divBdr>
                </w:div>
              </w:divsChild>
            </w:div>
            <w:div w:id="1921408520">
              <w:marLeft w:val="0"/>
              <w:marRight w:val="0"/>
              <w:marTop w:val="0"/>
              <w:marBottom w:val="0"/>
              <w:divBdr>
                <w:top w:val="none" w:sz="0" w:space="0" w:color="auto"/>
                <w:left w:val="none" w:sz="0" w:space="0" w:color="auto"/>
                <w:bottom w:val="none" w:sz="0" w:space="0" w:color="auto"/>
                <w:right w:val="none" w:sz="0" w:space="0" w:color="auto"/>
              </w:divBdr>
              <w:divsChild>
                <w:div w:id="4086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95151">
          <w:marLeft w:val="0"/>
          <w:marRight w:val="0"/>
          <w:marTop w:val="0"/>
          <w:marBottom w:val="0"/>
          <w:divBdr>
            <w:top w:val="none" w:sz="0" w:space="0" w:color="auto"/>
            <w:left w:val="none" w:sz="0" w:space="0" w:color="auto"/>
            <w:bottom w:val="none" w:sz="0" w:space="0" w:color="auto"/>
            <w:right w:val="none" w:sz="0" w:space="0" w:color="auto"/>
          </w:divBdr>
          <w:divsChild>
            <w:div w:id="739981203">
              <w:marLeft w:val="0"/>
              <w:marRight w:val="0"/>
              <w:marTop w:val="0"/>
              <w:marBottom w:val="0"/>
              <w:divBdr>
                <w:top w:val="none" w:sz="0" w:space="0" w:color="auto"/>
                <w:left w:val="none" w:sz="0" w:space="0" w:color="auto"/>
                <w:bottom w:val="none" w:sz="0" w:space="0" w:color="auto"/>
                <w:right w:val="none" w:sz="0" w:space="0" w:color="auto"/>
              </w:divBdr>
              <w:divsChild>
                <w:div w:id="32008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560687">
      <w:bodyDiv w:val="1"/>
      <w:marLeft w:val="0"/>
      <w:marRight w:val="0"/>
      <w:marTop w:val="0"/>
      <w:marBottom w:val="0"/>
      <w:divBdr>
        <w:top w:val="none" w:sz="0" w:space="0" w:color="auto"/>
        <w:left w:val="none" w:sz="0" w:space="0" w:color="auto"/>
        <w:bottom w:val="none" w:sz="0" w:space="0" w:color="auto"/>
        <w:right w:val="none" w:sz="0" w:space="0" w:color="auto"/>
      </w:divBdr>
    </w:div>
    <w:div w:id="1803695893">
      <w:bodyDiv w:val="1"/>
      <w:marLeft w:val="0"/>
      <w:marRight w:val="0"/>
      <w:marTop w:val="0"/>
      <w:marBottom w:val="0"/>
      <w:divBdr>
        <w:top w:val="none" w:sz="0" w:space="0" w:color="auto"/>
        <w:left w:val="none" w:sz="0" w:space="0" w:color="auto"/>
        <w:bottom w:val="none" w:sz="0" w:space="0" w:color="auto"/>
        <w:right w:val="none" w:sz="0" w:space="0" w:color="auto"/>
      </w:divBdr>
    </w:div>
    <w:div w:id="2027242967">
      <w:bodyDiv w:val="1"/>
      <w:marLeft w:val="0"/>
      <w:marRight w:val="0"/>
      <w:marTop w:val="0"/>
      <w:marBottom w:val="0"/>
      <w:divBdr>
        <w:top w:val="none" w:sz="0" w:space="0" w:color="auto"/>
        <w:left w:val="none" w:sz="0" w:space="0" w:color="auto"/>
        <w:bottom w:val="none" w:sz="0" w:space="0" w:color="auto"/>
        <w:right w:val="none" w:sz="0" w:space="0" w:color="auto"/>
      </w:divBdr>
    </w:div>
    <w:div w:id="2051685441">
      <w:bodyDiv w:val="1"/>
      <w:marLeft w:val="0"/>
      <w:marRight w:val="0"/>
      <w:marTop w:val="0"/>
      <w:marBottom w:val="0"/>
      <w:divBdr>
        <w:top w:val="none" w:sz="0" w:space="0" w:color="auto"/>
        <w:left w:val="none" w:sz="0" w:space="0" w:color="auto"/>
        <w:bottom w:val="none" w:sz="0" w:space="0" w:color="auto"/>
        <w:right w:val="none" w:sz="0" w:space="0" w:color="auto"/>
      </w:divBdr>
    </w:div>
    <w:div w:id="2055763383">
      <w:bodyDiv w:val="1"/>
      <w:marLeft w:val="0"/>
      <w:marRight w:val="0"/>
      <w:marTop w:val="0"/>
      <w:marBottom w:val="0"/>
      <w:divBdr>
        <w:top w:val="none" w:sz="0" w:space="0" w:color="auto"/>
        <w:left w:val="none" w:sz="0" w:space="0" w:color="auto"/>
        <w:bottom w:val="none" w:sz="0" w:space="0" w:color="auto"/>
        <w:right w:val="none" w:sz="0" w:space="0" w:color="auto"/>
      </w:divBdr>
    </w:div>
    <w:div w:id="212757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0" Type="http://schemas.openxmlformats.org/officeDocument/2006/relationships/hyperlink" Target="http://www.elfaonline.org" TargetMode="External"/><Relationship Id="rId4" Type="http://schemas.openxmlformats.org/officeDocument/2006/relationships/settings" Target="settings.xml"/><Relationship Id="rId9" Type="http://schemas.openxmlformats.org/officeDocument/2006/relationships/hyperlink" Target="mailto:director@fasb.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A1072-BBCC-45C5-B64E-B8FAAC3FA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2356</Words>
  <Characters>13434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GE</Company>
  <LinksUpToDate>false</LinksUpToDate>
  <CharactersWithSpaces>15759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Bosco</dc:creator>
  <cp:keywords/>
  <dc:description/>
  <cp:lastModifiedBy>Ralph Petta</cp:lastModifiedBy>
  <cp:revision>4</cp:revision>
  <cp:lastPrinted>2018-09-10T12:22:00Z</cp:lastPrinted>
  <dcterms:created xsi:type="dcterms:W3CDTF">2018-09-10T17:53:00Z</dcterms:created>
  <dcterms:modified xsi:type="dcterms:W3CDTF">2018-09-10T18:52:00Z</dcterms:modified>
</cp:coreProperties>
</file>